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118242" w14:textId="345B6396" w:rsidR="009D76A0" w:rsidRPr="00C02CCE" w:rsidRDefault="009D76A0" w:rsidP="009D76A0">
      <w:pPr>
        <w:keepLines/>
        <w:tabs>
          <w:tab w:val="left" w:pos="567"/>
        </w:tabs>
        <w:autoSpaceDE/>
        <w:autoSpaceDN/>
        <w:spacing w:after="0"/>
        <w:rPr>
          <w:rFonts w:ascii="Arial" w:eastAsia="MS Mincho" w:hAnsi="Arial" w:cs="Arial"/>
          <w:b/>
          <w:sz w:val="28"/>
          <w:szCs w:val="28"/>
        </w:rPr>
      </w:pPr>
      <w:r w:rsidRPr="00C02CCE">
        <w:rPr>
          <w:rFonts w:ascii="Arial" w:hAnsi="Arial" w:cs="Arial"/>
          <w:b/>
          <w:sz w:val="28"/>
          <w:szCs w:val="28"/>
        </w:rPr>
        <w:t>3GPP TSG</w:t>
      </w:r>
      <w:r w:rsidR="006618D5">
        <w:rPr>
          <w:rFonts w:ascii="Arial" w:hAnsi="Arial" w:cs="Arial"/>
          <w:b/>
          <w:sz w:val="28"/>
          <w:szCs w:val="28"/>
        </w:rPr>
        <w:t>-RAN WG2</w:t>
      </w:r>
      <w:r w:rsidRPr="00C02CCE">
        <w:rPr>
          <w:rFonts w:ascii="Arial" w:hAnsi="Arial" w:cs="Arial"/>
          <w:b/>
          <w:sz w:val="28"/>
          <w:szCs w:val="28"/>
        </w:rPr>
        <w:t xml:space="preserve"> Meeting #1</w:t>
      </w:r>
      <w:r w:rsidR="00E74BC3">
        <w:rPr>
          <w:rFonts w:ascii="Arial" w:hAnsi="Arial" w:cs="Arial"/>
          <w:b/>
          <w:sz w:val="28"/>
          <w:szCs w:val="28"/>
        </w:rPr>
        <w:t>2</w:t>
      </w:r>
      <w:r w:rsidR="00DF7F83">
        <w:rPr>
          <w:rFonts w:ascii="Arial" w:hAnsi="Arial" w:cs="Arial"/>
          <w:b/>
          <w:sz w:val="28"/>
          <w:szCs w:val="28"/>
        </w:rPr>
        <w:t>9</w:t>
      </w:r>
      <w:r w:rsidRPr="00C02CCE">
        <w:rPr>
          <w:rFonts w:ascii="Arial" w:hAnsi="Arial" w:cs="Arial"/>
          <w:b/>
          <w:sz w:val="28"/>
          <w:szCs w:val="28"/>
        </w:rPr>
        <w:tab/>
      </w:r>
      <w:r w:rsidRPr="00C02CCE">
        <w:rPr>
          <w:rFonts w:ascii="Arial" w:hAnsi="Arial" w:cs="Arial"/>
          <w:b/>
          <w:sz w:val="28"/>
          <w:szCs w:val="28"/>
        </w:rPr>
        <w:tab/>
      </w:r>
      <w:r w:rsidRPr="00C02CCE">
        <w:rPr>
          <w:rFonts w:ascii="Arial" w:eastAsia="MS Mincho" w:hAnsi="Arial" w:cs="Arial" w:hint="eastAsia"/>
          <w:b/>
          <w:sz w:val="28"/>
          <w:szCs w:val="28"/>
        </w:rPr>
        <w:tab/>
      </w:r>
      <w:r w:rsidRPr="00C02CCE">
        <w:rPr>
          <w:rFonts w:ascii="Arial" w:eastAsia="MS Mincho" w:hAnsi="Arial" w:cs="Arial"/>
          <w:b/>
          <w:sz w:val="28"/>
          <w:szCs w:val="28"/>
        </w:rPr>
        <w:tab/>
      </w:r>
      <w:r w:rsidRPr="00C02CCE">
        <w:rPr>
          <w:rFonts w:ascii="Arial" w:eastAsia="MS Mincho" w:hAnsi="Arial" w:cs="Arial" w:hint="eastAsia"/>
          <w:b/>
          <w:sz w:val="28"/>
          <w:szCs w:val="28"/>
        </w:rPr>
        <w:tab/>
      </w:r>
      <w:r w:rsidRPr="00C02CCE">
        <w:rPr>
          <w:rFonts w:ascii="Arial" w:eastAsia="MS Mincho" w:hAnsi="Arial" w:cs="Arial"/>
          <w:b/>
          <w:sz w:val="28"/>
          <w:szCs w:val="28"/>
        </w:rPr>
        <w:tab/>
      </w:r>
      <w:r w:rsidR="003355A8">
        <w:rPr>
          <w:rFonts w:ascii="Arial" w:eastAsia="MS Mincho" w:hAnsi="Arial" w:cs="Arial"/>
          <w:b/>
          <w:sz w:val="28"/>
          <w:szCs w:val="28"/>
        </w:rPr>
        <w:t xml:space="preserve">   </w:t>
      </w:r>
      <w:r w:rsidR="00E74BC3">
        <w:rPr>
          <w:rFonts w:ascii="Arial" w:eastAsia="MS Mincho" w:hAnsi="Arial" w:cs="Arial"/>
          <w:b/>
          <w:sz w:val="28"/>
          <w:szCs w:val="28"/>
        </w:rPr>
        <w:t xml:space="preserve">      </w:t>
      </w:r>
      <w:r w:rsidR="003355A8">
        <w:rPr>
          <w:rFonts w:ascii="Arial" w:eastAsia="MS Mincho" w:hAnsi="Arial" w:cs="Arial"/>
          <w:b/>
          <w:sz w:val="28"/>
          <w:szCs w:val="28"/>
        </w:rPr>
        <w:t xml:space="preserve">   </w:t>
      </w:r>
      <w:r w:rsidR="00E74BC3">
        <w:rPr>
          <w:rFonts w:ascii="Arial" w:hAnsi="Arial" w:cs="Arial"/>
          <w:b/>
          <w:sz w:val="28"/>
          <w:szCs w:val="28"/>
        </w:rPr>
        <w:t>R2-2</w:t>
      </w:r>
      <w:r w:rsidR="00D726F5">
        <w:rPr>
          <w:rFonts w:ascii="Arial" w:hAnsi="Arial" w:cs="Arial"/>
          <w:b/>
          <w:sz w:val="28"/>
          <w:szCs w:val="28"/>
        </w:rPr>
        <w:t>5</w:t>
      </w:r>
      <w:r w:rsidR="0086297D">
        <w:rPr>
          <w:rFonts w:ascii="Arial" w:hAnsi="Arial" w:cs="Arial"/>
          <w:b/>
          <w:sz w:val="28"/>
          <w:szCs w:val="28"/>
        </w:rPr>
        <w:t>00858</w:t>
      </w:r>
    </w:p>
    <w:p w14:paraId="5CBED9A8" w14:textId="6AFC81DD" w:rsidR="009D76A0" w:rsidRPr="00C02CCE" w:rsidRDefault="00DB2A3E" w:rsidP="009D76A0">
      <w:pPr>
        <w:keepLines/>
        <w:tabs>
          <w:tab w:val="left" w:pos="567"/>
        </w:tabs>
        <w:rPr>
          <w:rFonts w:ascii="Arial" w:hAnsi="Arial" w:cs="Arial"/>
          <w:b/>
          <w:sz w:val="28"/>
          <w:szCs w:val="28"/>
        </w:rPr>
      </w:pPr>
      <w:r>
        <w:rPr>
          <w:rFonts w:ascii="Arial" w:hAnsi="Arial" w:cs="Arial"/>
          <w:b/>
          <w:sz w:val="28"/>
          <w:szCs w:val="28"/>
        </w:rPr>
        <w:t>Athens</w:t>
      </w:r>
      <w:r w:rsidR="00E74BC3" w:rsidRPr="00E74BC3">
        <w:rPr>
          <w:rFonts w:ascii="Arial" w:hAnsi="Arial" w:cs="Arial"/>
          <w:b/>
          <w:sz w:val="28"/>
          <w:szCs w:val="28"/>
        </w:rPr>
        <w:t xml:space="preserve">, </w:t>
      </w:r>
      <w:r>
        <w:rPr>
          <w:rFonts w:ascii="Arial" w:hAnsi="Arial" w:cs="Arial"/>
          <w:b/>
          <w:sz w:val="28"/>
          <w:szCs w:val="28"/>
        </w:rPr>
        <w:t>G</w:t>
      </w:r>
      <w:r w:rsidR="0086297D">
        <w:rPr>
          <w:rFonts w:ascii="Arial" w:hAnsi="Arial" w:cs="Arial"/>
          <w:b/>
          <w:sz w:val="28"/>
          <w:szCs w:val="28"/>
        </w:rPr>
        <w:t>reece</w:t>
      </w:r>
      <w:r w:rsidR="00E74BC3" w:rsidRPr="00E74BC3">
        <w:rPr>
          <w:rFonts w:ascii="Arial" w:hAnsi="Arial" w:cs="Arial"/>
          <w:b/>
          <w:sz w:val="28"/>
          <w:szCs w:val="28"/>
        </w:rPr>
        <w:t>, 1</w:t>
      </w:r>
      <w:r>
        <w:rPr>
          <w:rFonts w:ascii="Arial" w:hAnsi="Arial" w:cs="Arial"/>
          <w:b/>
          <w:sz w:val="28"/>
          <w:szCs w:val="28"/>
        </w:rPr>
        <w:t>7</w:t>
      </w:r>
      <w:r w:rsidR="00205641" w:rsidRPr="00205641">
        <w:rPr>
          <w:rFonts w:ascii="Arial" w:hAnsi="Arial" w:cs="Arial"/>
          <w:b/>
          <w:sz w:val="28"/>
          <w:szCs w:val="28"/>
          <w:vertAlign w:val="superscript"/>
        </w:rPr>
        <w:t>th</w:t>
      </w:r>
      <w:r w:rsidR="00E74BC3" w:rsidRPr="00E74BC3">
        <w:rPr>
          <w:rFonts w:ascii="Arial" w:hAnsi="Arial" w:cs="Arial"/>
          <w:b/>
          <w:sz w:val="28"/>
          <w:szCs w:val="28"/>
        </w:rPr>
        <w:t xml:space="preserve"> – 2</w:t>
      </w:r>
      <w:r>
        <w:rPr>
          <w:rFonts w:ascii="Arial" w:hAnsi="Arial" w:cs="Arial"/>
          <w:b/>
          <w:sz w:val="28"/>
          <w:szCs w:val="28"/>
        </w:rPr>
        <w:t>1</w:t>
      </w:r>
      <w:r w:rsidR="00205641" w:rsidRPr="00205641">
        <w:rPr>
          <w:rFonts w:ascii="Arial" w:hAnsi="Arial" w:cs="Arial"/>
          <w:b/>
          <w:sz w:val="28"/>
          <w:szCs w:val="28"/>
          <w:vertAlign w:val="superscript"/>
        </w:rPr>
        <w:t>nd</w:t>
      </w:r>
      <w:r w:rsidR="00205641">
        <w:rPr>
          <w:rFonts w:ascii="Arial" w:hAnsi="Arial" w:cs="Arial"/>
          <w:b/>
          <w:sz w:val="28"/>
          <w:szCs w:val="28"/>
        </w:rPr>
        <w:t xml:space="preserve"> </w:t>
      </w:r>
      <w:r>
        <w:rPr>
          <w:rFonts w:ascii="Arial" w:hAnsi="Arial" w:cs="Arial"/>
          <w:b/>
          <w:sz w:val="28"/>
          <w:szCs w:val="28"/>
        </w:rPr>
        <w:t>February</w:t>
      </w:r>
      <w:r w:rsidR="00E74BC3" w:rsidRPr="00E74BC3">
        <w:rPr>
          <w:rFonts w:ascii="Arial" w:hAnsi="Arial" w:cs="Arial"/>
          <w:b/>
          <w:sz w:val="28"/>
          <w:szCs w:val="28"/>
        </w:rPr>
        <w:t>, 202</w:t>
      </w:r>
      <w:r>
        <w:rPr>
          <w:rFonts w:ascii="Arial" w:hAnsi="Arial" w:cs="Arial"/>
          <w:b/>
          <w:sz w:val="28"/>
          <w:szCs w:val="28"/>
        </w:rPr>
        <w:t>5</w:t>
      </w:r>
    </w:p>
    <w:p w14:paraId="3546EF53" w14:textId="557833CE" w:rsidR="000D6435" w:rsidRPr="00C02CCE" w:rsidRDefault="000D6435" w:rsidP="00BD5B39">
      <w:pPr>
        <w:tabs>
          <w:tab w:val="left" w:pos="1985"/>
        </w:tabs>
        <w:ind w:left="1980" w:hanging="1980"/>
        <w:rPr>
          <w:rFonts w:ascii="Arial" w:hAnsi="Arial"/>
          <w:sz w:val="24"/>
        </w:rPr>
      </w:pPr>
      <w:r w:rsidRPr="00C02CCE">
        <w:rPr>
          <w:rFonts w:ascii="Arial" w:hAnsi="Arial"/>
          <w:b/>
          <w:sz w:val="24"/>
        </w:rPr>
        <w:t xml:space="preserve">Title: </w:t>
      </w:r>
      <w:r w:rsidRPr="00C02CCE">
        <w:rPr>
          <w:rFonts w:ascii="Arial" w:hAnsi="Arial"/>
          <w:b/>
          <w:sz w:val="24"/>
        </w:rPr>
        <w:tab/>
      </w:r>
      <w:r w:rsidR="00BD5B39">
        <w:rPr>
          <w:rFonts w:ascii="Arial" w:hAnsi="Arial"/>
          <w:b/>
          <w:sz w:val="24"/>
        </w:rPr>
        <w:tab/>
      </w:r>
      <w:r w:rsidR="00135E4B" w:rsidRPr="00135E4B">
        <w:rPr>
          <w:rFonts w:ascii="Arial" w:hAnsi="Arial"/>
          <w:sz w:val="24"/>
        </w:rPr>
        <w:t>Discussion on LCM for UE-sided model for Beam Management use case</w:t>
      </w:r>
    </w:p>
    <w:p w14:paraId="3119F919" w14:textId="1BFD7820" w:rsidR="001836E6" w:rsidRPr="00C02CCE" w:rsidRDefault="001836E6" w:rsidP="001836E6">
      <w:pPr>
        <w:tabs>
          <w:tab w:val="left" w:pos="1985"/>
        </w:tabs>
        <w:rPr>
          <w:rFonts w:ascii="Arial" w:eastAsia="PMingLiU" w:hAnsi="Arial"/>
          <w:b/>
          <w:sz w:val="24"/>
          <w:lang w:eastAsia="zh-TW"/>
        </w:rPr>
      </w:pPr>
      <w:r w:rsidRPr="00C02CCE">
        <w:rPr>
          <w:rFonts w:ascii="Arial" w:hAnsi="Arial"/>
          <w:b/>
          <w:sz w:val="24"/>
        </w:rPr>
        <w:t xml:space="preserve">Source: </w:t>
      </w:r>
      <w:r w:rsidRPr="00C02CCE">
        <w:rPr>
          <w:rFonts w:ascii="Arial" w:hAnsi="Arial"/>
          <w:b/>
          <w:sz w:val="24"/>
        </w:rPr>
        <w:tab/>
      </w:r>
      <w:r w:rsidRPr="00C02CCE">
        <w:rPr>
          <w:rFonts w:ascii="Arial" w:eastAsia="PMingLiU" w:hAnsi="Arial"/>
          <w:sz w:val="24"/>
          <w:lang w:eastAsia="zh-TW"/>
        </w:rPr>
        <w:t>Huawei, HiSilicon</w:t>
      </w:r>
    </w:p>
    <w:p w14:paraId="08170EA1" w14:textId="170849C0" w:rsidR="000D6435" w:rsidRPr="00C02CCE" w:rsidRDefault="000D6435" w:rsidP="000D6435">
      <w:pPr>
        <w:tabs>
          <w:tab w:val="left" w:pos="1985"/>
        </w:tabs>
        <w:rPr>
          <w:rFonts w:ascii="Arial" w:eastAsia="PMingLiU" w:hAnsi="Arial"/>
          <w:b/>
          <w:color w:val="000000"/>
          <w:sz w:val="24"/>
          <w:lang w:eastAsia="zh-TW"/>
        </w:rPr>
      </w:pPr>
      <w:r w:rsidRPr="00C02CCE">
        <w:rPr>
          <w:rFonts w:ascii="Arial" w:hAnsi="Arial"/>
          <w:b/>
          <w:sz w:val="24"/>
        </w:rPr>
        <w:t>Agenda item:</w:t>
      </w:r>
      <w:r w:rsidRPr="00C02CCE">
        <w:rPr>
          <w:rFonts w:ascii="Arial" w:hAnsi="Arial"/>
          <w:b/>
          <w:sz w:val="24"/>
        </w:rPr>
        <w:tab/>
      </w:r>
      <w:r w:rsidR="00177A26" w:rsidRPr="00177A26">
        <w:rPr>
          <w:rFonts w:ascii="Arial" w:eastAsia="PMingLiU" w:hAnsi="Arial"/>
          <w:sz w:val="24"/>
          <w:lang w:eastAsia="zh-TW"/>
        </w:rPr>
        <w:t>8.1.2.2</w:t>
      </w:r>
    </w:p>
    <w:p w14:paraId="67F568EC" w14:textId="36B680F5" w:rsidR="001836E6" w:rsidRPr="00C02CCE" w:rsidRDefault="001836E6" w:rsidP="001836E6">
      <w:pPr>
        <w:tabs>
          <w:tab w:val="left" w:pos="1985"/>
        </w:tabs>
        <w:spacing w:after="240"/>
        <w:rPr>
          <w:rFonts w:ascii="Arial" w:hAnsi="Arial"/>
          <w:sz w:val="24"/>
        </w:rPr>
      </w:pPr>
      <w:r w:rsidRPr="00C02CCE">
        <w:rPr>
          <w:rFonts w:ascii="Arial" w:hAnsi="Arial"/>
          <w:b/>
          <w:sz w:val="24"/>
        </w:rPr>
        <w:t>Document for:</w:t>
      </w:r>
      <w:r w:rsidRPr="00C02CCE">
        <w:rPr>
          <w:rFonts w:ascii="Arial" w:hAnsi="Arial"/>
          <w:b/>
          <w:sz w:val="24"/>
        </w:rPr>
        <w:tab/>
      </w:r>
      <w:r w:rsidRPr="00C02CCE">
        <w:rPr>
          <w:rFonts w:ascii="Arial" w:hAnsi="Arial"/>
          <w:sz w:val="24"/>
        </w:rPr>
        <w:t>Discussion</w:t>
      </w:r>
      <w:r w:rsidR="00073FE2">
        <w:rPr>
          <w:rFonts w:ascii="Arial" w:hAnsi="Arial"/>
          <w:sz w:val="24"/>
        </w:rPr>
        <w:t>/Decision</w:t>
      </w:r>
    </w:p>
    <w:p w14:paraId="08ADBF60" w14:textId="6A844C68" w:rsidR="00EF64AA" w:rsidRPr="00C02CCE" w:rsidRDefault="009C0564" w:rsidP="001836E6">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bookmarkStart w:id="0" w:name="_Ref124589705"/>
      <w:bookmarkStart w:id="1" w:name="_Ref129681862"/>
      <w:r w:rsidRPr="00C02CCE">
        <w:rPr>
          <w:rFonts w:ascii="Arial" w:eastAsia="Times New Roman" w:hAnsi="Arial"/>
          <w:b w:val="0"/>
          <w:bCs w:val="0"/>
          <w:sz w:val="36"/>
          <w:szCs w:val="20"/>
          <w:lang w:eastAsia="en-GB"/>
        </w:rPr>
        <w:t>Introduction</w:t>
      </w:r>
      <w:bookmarkEnd w:id="0"/>
      <w:bookmarkEnd w:id="1"/>
    </w:p>
    <w:p w14:paraId="2C94C379" w14:textId="4E0B1170" w:rsidR="00B152DF" w:rsidRDefault="003000B1" w:rsidP="00D03645">
      <w:pPr>
        <w:rPr>
          <w:lang w:eastAsia="zh-CN"/>
        </w:rPr>
      </w:pPr>
      <w:bookmarkStart w:id="2" w:name="_Ref129681832"/>
      <w:r w:rsidRPr="003000B1">
        <w:rPr>
          <w:lang w:eastAsia="en-GB"/>
        </w:rPr>
        <w:t xml:space="preserve">In </w:t>
      </w:r>
      <w:r w:rsidR="00135E4B">
        <w:rPr>
          <w:lang w:eastAsia="en-GB"/>
        </w:rPr>
        <w:t>RAN2 #12</w:t>
      </w:r>
      <w:r w:rsidR="00DB2A3E">
        <w:rPr>
          <w:lang w:eastAsia="en-GB"/>
        </w:rPr>
        <w:t>8</w:t>
      </w:r>
      <w:r>
        <w:rPr>
          <w:lang w:eastAsia="en-GB"/>
        </w:rPr>
        <w:t xml:space="preserve"> meeting, </w:t>
      </w:r>
      <w:r w:rsidR="007A09FB">
        <w:rPr>
          <w:lang w:eastAsia="en-GB"/>
        </w:rPr>
        <w:t xml:space="preserve">RAN2 made </w:t>
      </w:r>
      <w:r>
        <w:rPr>
          <w:lang w:eastAsia="en-GB"/>
        </w:rPr>
        <w:t xml:space="preserve">the </w:t>
      </w:r>
      <w:r w:rsidRPr="003000B1">
        <w:rPr>
          <w:lang w:eastAsia="en-GB"/>
        </w:rPr>
        <w:t xml:space="preserve">following agreements for </w:t>
      </w:r>
      <w:r>
        <w:rPr>
          <w:lang w:eastAsia="en-GB"/>
        </w:rPr>
        <w:t>th</w:t>
      </w:r>
      <w:r>
        <w:rPr>
          <w:rFonts w:hint="eastAsia"/>
          <w:lang w:eastAsia="zh-CN"/>
        </w:rPr>
        <w:t>e</w:t>
      </w:r>
      <w:r>
        <w:rPr>
          <w:lang w:eastAsia="zh-CN"/>
        </w:rPr>
        <w:t xml:space="preserve"> UE</w:t>
      </w:r>
      <w:r>
        <w:rPr>
          <w:rFonts w:hint="eastAsia"/>
          <w:lang w:eastAsia="zh-CN"/>
        </w:rPr>
        <w:t>-</w:t>
      </w:r>
      <w:r>
        <w:rPr>
          <w:lang w:eastAsia="zh-CN"/>
        </w:rPr>
        <w:t>side model for BM case</w:t>
      </w:r>
      <w:r w:rsidR="00C2312D">
        <w:rPr>
          <w:lang w:eastAsia="zh-CN"/>
        </w:rPr>
        <w:t>, including the</w:t>
      </w:r>
      <w:r w:rsidR="00C2312D" w:rsidRPr="00C2312D">
        <w:t xml:space="preserve"> </w:t>
      </w:r>
      <w:r w:rsidR="00C2312D" w:rsidRPr="00C2312D">
        <w:rPr>
          <w:lang w:eastAsia="zh-CN"/>
        </w:rPr>
        <w:t>functionality applicability report</w:t>
      </w:r>
      <w:r w:rsidR="00DF4402">
        <w:rPr>
          <w:lang w:eastAsia="zh-CN"/>
        </w:rPr>
        <w:t xml:space="preserve"> and</w:t>
      </w:r>
      <w:r w:rsidR="00C2312D">
        <w:rPr>
          <w:lang w:eastAsia="zh-CN"/>
        </w:rPr>
        <w:t xml:space="preserve"> </w:t>
      </w:r>
      <w:r w:rsidR="00EC2D27">
        <w:rPr>
          <w:lang w:eastAsia="zh-CN"/>
        </w:rPr>
        <w:t>status exchange of functionality applicability report</w:t>
      </w:r>
      <w:r w:rsidR="00DF4402">
        <w:rPr>
          <w:lang w:eastAsia="zh-CN"/>
        </w:rPr>
        <w:t xml:space="preserve"> </w:t>
      </w:r>
      <w:r w:rsidR="00C2312D">
        <w:rPr>
          <w:lang w:eastAsia="zh-CN"/>
        </w:rPr>
        <w:t xml:space="preserve">aspects. </w:t>
      </w:r>
    </w:p>
    <w:p w14:paraId="44BF524A" w14:textId="77777777" w:rsidR="00DB2A3E" w:rsidRPr="005B5B44" w:rsidRDefault="00DB2A3E" w:rsidP="00520A60">
      <w:pPr>
        <w:pStyle w:val="Doc-text2"/>
        <w:pBdr>
          <w:top w:val="single" w:sz="4" w:space="1" w:color="auto"/>
          <w:left w:val="single" w:sz="4" w:space="4" w:color="auto"/>
          <w:bottom w:val="single" w:sz="4" w:space="1" w:color="auto"/>
          <w:right w:val="single" w:sz="4" w:space="4" w:color="auto"/>
        </w:pBdr>
        <w:ind w:leftChars="50" w:left="473"/>
        <w:jc w:val="both"/>
        <w:rPr>
          <w:b/>
          <w:bCs/>
          <w:lang w:val="en-US"/>
        </w:rPr>
      </w:pPr>
      <w:r w:rsidRPr="00377A5B">
        <w:rPr>
          <w:b/>
          <w:bCs/>
          <w:highlight w:val="green"/>
          <w:lang w:val="en-US"/>
        </w:rPr>
        <w:t>Agreements</w:t>
      </w:r>
      <w:r w:rsidRPr="005B5B44">
        <w:rPr>
          <w:b/>
          <w:bCs/>
          <w:lang w:val="en-US"/>
        </w:rPr>
        <w:t xml:space="preserve"> </w:t>
      </w:r>
    </w:p>
    <w:p w14:paraId="7AC4BB51" w14:textId="4C8E7060" w:rsidR="00DB2A3E" w:rsidRDefault="00DB2A3E" w:rsidP="004A4578">
      <w:pPr>
        <w:pStyle w:val="Doc-text2"/>
        <w:numPr>
          <w:ilvl w:val="0"/>
          <w:numId w:val="14"/>
        </w:numPr>
        <w:pBdr>
          <w:top w:val="single" w:sz="4" w:space="1" w:color="auto"/>
          <w:left w:val="single" w:sz="4" w:space="4" w:color="auto"/>
          <w:bottom w:val="single" w:sz="4" w:space="1" w:color="auto"/>
          <w:right w:val="single" w:sz="4" w:space="4" w:color="auto"/>
        </w:pBdr>
        <w:ind w:leftChars="50" w:left="470"/>
        <w:jc w:val="both"/>
        <w:rPr>
          <w:lang w:val="en-US"/>
        </w:rPr>
      </w:pPr>
      <w:r w:rsidRPr="006F4CE0">
        <w:rPr>
          <w:lang w:val="en-US"/>
        </w:rPr>
        <w:t xml:space="preserve">When a functionality configured by the network to be reported via UAI, becomes from non-applicable to applicable, the UE can report it to the network. </w:t>
      </w:r>
      <w:r>
        <w:rPr>
          <w:lang w:val="en-US"/>
        </w:rPr>
        <w:t xml:space="preserve">  </w:t>
      </w:r>
      <w:r w:rsidRPr="00520A60">
        <w:rPr>
          <w:highlight w:val="yellow"/>
          <w:lang w:val="en-US"/>
        </w:rPr>
        <w:t>FFS</w:t>
      </w:r>
      <w:r w:rsidRPr="006F4CE0">
        <w:rPr>
          <w:lang w:val="en-US"/>
        </w:rPr>
        <w:t xml:space="preserve"> detailed design</w:t>
      </w:r>
    </w:p>
    <w:p w14:paraId="68531BD8" w14:textId="77777777" w:rsidR="00DB2A3E" w:rsidRPr="00452F28" w:rsidRDefault="00DB2A3E" w:rsidP="004A4578">
      <w:pPr>
        <w:pStyle w:val="Doc-text2"/>
        <w:numPr>
          <w:ilvl w:val="0"/>
          <w:numId w:val="14"/>
        </w:numPr>
        <w:pBdr>
          <w:top w:val="single" w:sz="4" w:space="1" w:color="auto"/>
          <w:left w:val="single" w:sz="4" w:space="4" w:color="auto"/>
          <w:bottom w:val="single" w:sz="4" w:space="1" w:color="auto"/>
          <w:right w:val="single" w:sz="4" w:space="4" w:color="auto"/>
        </w:pBdr>
        <w:ind w:leftChars="50" w:left="470"/>
        <w:jc w:val="both"/>
        <w:rPr>
          <w:lang w:val="en-US"/>
        </w:rPr>
      </w:pPr>
      <w:r w:rsidRPr="00452F28">
        <w:rPr>
          <w:lang w:val="en-US"/>
        </w:rPr>
        <w:t>When a functionality becomes non-applicable the UE doesn’t autonomously deactivate. NW is expected to deactivate active functionality when it receives report from UE that it is non-applicable.</w:t>
      </w:r>
    </w:p>
    <w:p w14:paraId="57600C67" w14:textId="77777777" w:rsidR="00DB2A3E" w:rsidRDefault="00DB2A3E" w:rsidP="004A4578">
      <w:pPr>
        <w:pStyle w:val="Doc-text2"/>
        <w:numPr>
          <w:ilvl w:val="0"/>
          <w:numId w:val="14"/>
        </w:numPr>
        <w:pBdr>
          <w:top w:val="single" w:sz="4" w:space="1" w:color="auto"/>
          <w:left w:val="single" w:sz="4" w:space="4" w:color="auto"/>
          <w:bottom w:val="single" w:sz="4" w:space="1" w:color="auto"/>
          <w:right w:val="single" w:sz="4" w:space="4" w:color="auto"/>
        </w:pBdr>
        <w:ind w:leftChars="50" w:left="470"/>
        <w:jc w:val="both"/>
        <w:rPr>
          <w:lang w:val="en-US"/>
        </w:rPr>
      </w:pPr>
      <w:r w:rsidRPr="00520A60">
        <w:rPr>
          <w:highlight w:val="yellow"/>
          <w:lang w:val="en-US"/>
        </w:rPr>
        <w:t>FFS</w:t>
      </w:r>
      <w:r w:rsidRPr="00452F28">
        <w:rPr>
          <w:lang w:val="en-US"/>
        </w:rPr>
        <w:t xml:space="preserve"> whether the UE reports explicitly “non-applicable” functionality when there is a change of applicability.   </w:t>
      </w:r>
      <w:r>
        <w:rPr>
          <w:lang w:val="en-US"/>
        </w:rPr>
        <w:t>Verify this aligns with RAN1 configuration design</w:t>
      </w:r>
    </w:p>
    <w:p w14:paraId="1AC8AA94" w14:textId="77777777" w:rsidR="00DB2A3E" w:rsidRPr="005C2F5C" w:rsidRDefault="00DB2A3E" w:rsidP="004A4578">
      <w:pPr>
        <w:pStyle w:val="Doc-text2"/>
        <w:numPr>
          <w:ilvl w:val="0"/>
          <w:numId w:val="14"/>
        </w:numPr>
        <w:pBdr>
          <w:top w:val="single" w:sz="4" w:space="1" w:color="auto"/>
          <w:left w:val="single" w:sz="4" w:space="4" w:color="auto"/>
          <w:bottom w:val="single" w:sz="4" w:space="1" w:color="auto"/>
          <w:right w:val="single" w:sz="4" w:space="4" w:color="auto"/>
        </w:pBdr>
        <w:ind w:leftChars="50" w:left="470"/>
        <w:jc w:val="both"/>
        <w:rPr>
          <w:lang w:val="en-US"/>
        </w:rPr>
      </w:pPr>
      <w:r w:rsidRPr="005C2F5C">
        <w:rPr>
          <w:lang w:val="en-US"/>
        </w:rPr>
        <w:t xml:space="preserve">Applicable functionality reporting at handover is supported with the same RRC procedure that will be specified within a cell, as a baseline, i.e. the NW-side additional conditions and/or the inference configuration related to the target </w:t>
      </w:r>
      <w:proofErr w:type="spellStart"/>
      <w:r w:rsidRPr="005C2F5C">
        <w:rPr>
          <w:lang w:val="en-US"/>
        </w:rPr>
        <w:t>gNB</w:t>
      </w:r>
      <w:proofErr w:type="spellEnd"/>
      <w:r w:rsidRPr="005C2F5C">
        <w:rPr>
          <w:lang w:val="en-US"/>
        </w:rPr>
        <w:t xml:space="preserve"> are transmitted by the target </w:t>
      </w:r>
      <w:proofErr w:type="spellStart"/>
      <w:r w:rsidRPr="005C2F5C">
        <w:rPr>
          <w:lang w:val="en-US"/>
        </w:rPr>
        <w:t>gNB</w:t>
      </w:r>
      <w:proofErr w:type="spellEnd"/>
      <w:r w:rsidRPr="005C2F5C">
        <w:rPr>
          <w:lang w:val="en-US"/>
        </w:rPr>
        <w:t xml:space="preserve"> as part of the HO command, and the UE in response transmits the applicability report (either in RRCReconfigurationComplete or in UAI) to the target </w:t>
      </w:r>
      <w:proofErr w:type="spellStart"/>
      <w:r w:rsidRPr="005C2F5C">
        <w:rPr>
          <w:lang w:val="en-US"/>
        </w:rPr>
        <w:t>gNB</w:t>
      </w:r>
      <w:proofErr w:type="spellEnd"/>
      <w:r w:rsidRPr="005C2F5C">
        <w:rPr>
          <w:lang w:val="en-US"/>
        </w:rPr>
        <w:t xml:space="preserve"> after completing the handover.   </w:t>
      </w:r>
    </w:p>
    <w:p w14:paraId="1F44BD78" w14:textId="77777777" w:rsidR="00DB2A3E" w:rsidRPr="005C2F5C" w:rsidRDefault="00DB2A3E" w:rsidP="004A4578">
      <w:pPr>
        <w:pStyle w:val="Doc-text2"/>
        <w:numPr>
          <w:ilvl w:val="0"/>
          <w:numId w:val="14"/>
        </w:numPr>
        <w:pBdr>
          <w:top w:val="single" w:sz="4" w:space="1" w:color="auto"/>
          <w:left w:val="single" w:sz="4" w:space="4" w:color="auto"/>
          <w:bottom w:val="single" w:sz="4" w:space="1" w:color="auto"/>
          <w:right w:val="single" w:sz="4" w:space="4" w:color="auto"/>
        </w:pBdr>
        <w:ind w:leftChars="50" w:left="470"/>
        <w:jc w:val="both"/>
        <w:rPr>
          <w:lang w:val="en-US"/>
        </w:rPr>
      </w:pPr>
      <w:r w:rsidRPr="005C2F5C">
        <w:rPr>
          <w:lang w:val="en-US"/>
        </w:rPr>
        <w:t xml:space="preserve">Source cell UAI (as is) can be sent from source cell to target cell using existing signaling.   No further optimizations will be considered in RAN2 related to UAI.  </w:t>
      </w:r>
    </w:p>
    <w:p w14:paraId="302D2CBB" w14:textId="77777777" w:rsidR="004741E2" w:rsidRPr="00DB2A3E" w:rsidRDefault="004741E2" w:rsidP="00AF2D19">
      <w:pPr>
        <w:rPr>
          <w:lang w:eastAsia="zh-CN"/>
        </w:rPr>
      </w:pPr>
    </w:p>
    <w:p w14:paraId="33FA1F87" w14:textId="62EAFDEF" w:rsidR="00AB4F48" w:rsidRDefault="00AB4F48" w:rsidP="00AB4F48">
      <w:pPr>
        <w:rPr>
          <w:lang w:eastAsia="zh-CN"/>
        </w:rPr>
      </w:pPr>
      <w:r>
        <w:rPr>
          <w:lang w:eastAsia="zh-CN"/>
        </w:rPr>
        <w:t xml:space="preserve">In RAN2 </w:t>
      </w:r>
      <w:r w:rsidR="00087D28">
        <w:rPr>
          <w:lang w:eastAsia="zh-CN"/>
        </w:rPr>
        <w:t>#</w:t>
      </w:r>
      <w:r>
        <w:rPr>
          <w:lang w:eastAsia="zh-CN"/>
        </w:rPr>
        <w:t>127 meeting</w:t>
      </w:r>
      <w:r w:rsidR="000B1F48">
        <w:rPr>
          <w:lang w:eastAsia="zh-CN"/>
        </w:rPr>
        <w:t>, RAN2 had sent</w:t>
      </w:r>
      <w:r w:rsidR="009B38D4">
        <w:rPr>
          <w:lang w:eastAsia="zh-CN"/>
        </w:rPr>
        <w:t xml:space="preserve"> a LS</w:t>
      </w:r>
      <w:r w:rsidR="001248A3">
        <w:rPr>
          <w:lang w:eastAsia="zh-CN"/>
        </w:rPr>
        <w:fldChar w:fldCharType="begin"/>
      </w:r>
      <w:r w:rsidR="001248A3">
        <w:rPr>
          <w:lang w:eastAsia="zh-CN"/>
        </w:rPr>
        <w:instrText xml:space="preserve"> REF _Ref187657999 \r \h </w:instrText>
      </w:r>
      <w:r w:rsidR="001248A3">
        <w:rPr>
          <w:lang w:eastAsia="zh-CN"/>
        </w:rPr>
      </w:r>
      <w:r w:rsidR="001248A3">
        <w:rPr>
          <w:lang w:eastAsia="zh-CN"/>
        </w:rPr>
        <w:fldChar w:fldCharType="separate"/>
      </w:r>
      <w:r w:rsidR="001248A3">
        <w:rPr>
          <w:lang w:eastAsia="zh-CN"/>
        </w:rPr>
        <w:t>[1]</w:t>
      </w:r>
      <w:r w:rsidR="001248A3">
        <w:rPr>
          <w:lang w:eastAsia="zh-CN"/>
        </w:rPr>
        <w:fldChar w:fldCharType="end"/>
      </w:r>
      <w:r w:rsidR="00026A13">
        <w:rPr>
          <w:lang w:eastAsia="zh-CN"/>
        </w:rPr>
        <w:t xml:space="preserve"> to RAN1, </w:t>
      </w:r>
      <w:r w:rsidR="000B1F48">
        <w:rPr>
          <w:lang w:eastAsia="zh-CN"/>
        </w:rPr>
        <w:t xml:space="preserve">and </w:t>
      </w:r>
      <w:r w:rsidR="009B38D4">
        <w:rPr>
          <w:lang w:eastAsia="zh-CN"/>
        </w:rPr>
        <w:t xml:space="preserve">in RAN1 </w:t>
      </w:r>
      <w:r w:rsidR="00087D28">
        <w:rPr>
          <w:lang w:eastAsia="zh-CN"/>
        </w:rPr>
        <w:t>#</w:t>
      </w:r>
      <w:r w:rsidR="009B38D4">
        <w:rPr>
          <w:lang w:eastAsia="zh-CN"/>
        </w:rPr>
        <w:t>11</w:t>
      </w:r>
      <w:r w:rsidR="00346ED6">
        <w:rPr>
          <w:lang w:eastAsia="zh-CN"/>
        </w:rPr>
        <w:t>9</w:t>
      </w:r>
      <w:r w:rsidR="009B38D4">
        <w:rPr>
          <w:lang w:eastAsia="zh-CN"/>
        </w:rPr>
        <w:t xml:space="preserve"> meeting </w:t>
      </w:r>
      <w:r w:rsidR="000B1F48">
        <w:rPr>
          <w:lang w:eastAsia="zh-CN"/>
        </w:rPr>
        <w:t xml:space="preserve">RAN1 </w:t>
      </w:r>
      <w:r w:rsidR="00346ED6">
        <w:rPr>
          <w:lang w:eastAsia="zh-CN"/>
        </w:rPr>
        <w:t>has updated the reply</w:t>
      </w:r>
      <w:r w:rsidR="006846FA">
        <w:rPr>
          <w:lang w:eastAsia="zh-CN"/>
        </w:rPr>
        <w:fldChar w:fldCharType="begin"/>
      </w:r>
      <w:r w:rsidR="006846FA">
        <w:rPr>
          <w:lang w:eastAsia="zh-CN"/>
        </w:rPr>
        <w:instrText xml:space="preserve"> REF _Ref187673156 \r \h </w:instrText>
      </w:r>
      <w:r w:rsidR="006846FA">
        <w:rPr>
          <w:lang w:eastAsia="zh-CN"/>
        </w:rPr>
      </w:r>
      <w:r w:rsidR="006846FA">
        <w:rPr>
          <w:lang w:eastAsia="zh-CN"/>
        </w:rPr>
        <w:fldChar w:fldCharType="separate"/>
      </w:r>
      <w:r w:rsidR="006846FA">
        <w:rPr>
          <w:lang w:eastAsia="zh-CN"/>
        </w:rPr>
        <w:t>[2]</w:t>
      </w:r>
      <w:r w:rsidR="006846FA">
        <w:rPr>
          <w:lang w:eastAsia="zh-CN"/>
        </w:rPr>
        <w:fldChar w:fldCharType="end"/>
      </w:r>
      <w:r w:rsidR="00346ED6">
        <w:rPr>
          <w:lang w:eastAsia="zh-CN"/>
        </w:rPr>
        <w:t xml:space="preserve"> and made several agreements</w:t>
      </w:r>
      <w:r w:rsidR="009F310E">
        <w:rPr>
          <w:lang w:eastAsia="zh-CN"/>
        </w:rPr>
        <w:t xml:space="preserve"> below</w:t>
      </w:r>
      <w:r w:rsidR="00346ED6">
        <w:rPr>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6846FA" w:rsidRPr="002F5B54" w14:paraId="1AA0BB76" w14:textId="77777777" w:rsidTr="00A75806">
        <w:tc>
          <w:tcPr>
            <w:tcW w:w="9736" w:type="dxa"/>
            <w:shd w:val="clear" w:color="auto" w:fill="auto"/>
          </w:tcPr>
          <w:p w14:paraId="50485D79" w14:textId="77777777" w:rsidR="006846FA" w:rsidRDefault="006846FA" w:rsidP="00A75806">
            <w:pPr>
              <w:rPr>
                <w:rFonts w:eastAsia="DengXian"/>
                <w:highlight w:val="green"/>
                <w:lang w:eastAsia="zh-CN"/>
              </w:rPr>
            </w:pPr>
            <w:r>
              <w:rPr>
                <w:rFonts w:eastAsia="DengXian" w:hint="eastAsia"/>
                <w:highlight w:val="green"/>
                <w:lang w:eastAsia="zh-CN"/>
              </w:rPr>
              <w:t>Agreement</w:t>
            </w:r>
          </w:p>
          <w:p w14:paraId="0336CCD1" w14:textId="77777777" w:rsidR="006846FA" w:rsidRDefault="006846FA" w:rsidP="004A4578">
            <w:pPr>
              <w:numPr>
                <w:ilvl w:val="0"/>
                <w:numId w:val="16"/>
              </w:numPr>
              <w:autoSpaceDE/>
              <w:autoSpaceDN/>
              <w:spacing w:after="0"/>
              <w:jc w:val="left"/>
              <w:rPr>
                <w:rFonts w:eastAsia="Times New Roman" w:cs="Times"/>
                <w:lang w:eastAsia="zh-CN"/>
              </w:rPr>
            </w:pPr>
            <w:r>
              <w:rPr>
                <w:rFonts w:eastAsia="Times New Roman" w:cs="Times"/>
                <w:lang w:eastAsia="zh-CN"/>
              </w:rPr>
              <w:t>In Step 3, following configurations are provided from NW to UE:</w:t>
            </w:r>
          </w:p>
          <w:p w14:paraId="685C29F1" w14:textId="77777777" w:rsidR="006846FA" w:rsidRDefault="006846FA" w:rsidP="004A4578">
            <w:pPr>
              <w:numPr>
                <w:ilvl w:val="1"/>
                <w:numId w:val="16"/>
              </w:numPr>
              <w:autoSpaceDE/>
              <w:autoSpaceDN/>
              <w:spacing w:after="0"/>
              <w:jc w:val="left"/>
              <w:rPr>
                <w:rFonts w:eastAsia="Times New Roman" w:cs="Times"/>
                <w:lang w:eastAsia="zh-CN"/>
              </w:rPr>
            </w:pPr>
            <w:r>
              <w:rPr>
                <w:rFonts w:eastAsia="Times New Roman" w:cs="Times"/>
                <w:lang w:eastAsia="zh-CN"/>
              </w:rPr>
              <w:t>UE is allowed to do UAI reporting via </w:t>
            </w:r>
            <w:proofErr w:type="spellStart"/>
            <w:r>
              <w:rPr>
                <w:rFonts w:eastAsia="Times New Roman" w:cs="Times"/>
                <w:i/>
                <w:iCs/>
                <w:lang w:eastAsia="zh-CN"/>
              </w:rPr>
              <w:t>OtherConfig</w:t>
            </w:r>
            <w:proofErr w:type="spellEnd"/>
            <w:r>
              <w:rPr>
                <w:rFonts w:eastAsia="Times New Roman" w:cs="Times"/>
                <w:i/>
                <w:iCs/>
                <w:lang w:eastAsia="zh-CN"/>
              </w:rPr>
              <w:t>,</w:t>
            </w:r>
          </w:p>
          <w:p w14:paraId="32C1EF5A" w14:textId="77777777" w:rsidR="006846FA" w:rsidRDefault="006846FA" w:rsidP="004A4578">
            <w:pPr>
              <w:numPr>
                <w:ilvl w:val="1"/>
                <w:numId w:val="16"/>
              </w:numPr>
              <w:autoSpaceDE/>
              <w:autoSpaceDN/>
              <w:spacing w:after="0"/>
              <w:jc w:val="left"/>
              <w:rPr>
                <w:rFonts w:eastAsia="Times New Roman" w:cs="Times"/>
                <w:lang w:eastAsia="zh-CN"/>
              </w:rPr>
            </w:pPr>
            <w:r>
              <w:rPr>
                <w:rFonts w:eastAsia="Times New Roman" w:cs="Times"/>
                <w:lang w:eastAsia="zh-CN"/>
              </w:rPr>
              <w:t xml:space="preserve">The applicability report is based on A) and/or B) </w:t>
            </w:r>
          </w:p>
          <w:p w14:paraId="55081048" w14:textId="77777777" w:rsidR="006846FA" w:rsidRDefault="006846FA" w:rsidP="004A4578">
            <w:pPr>
              <w:numPr>
                <w:ilvl w:val="2"/>
                <w:numId w:val="16"/>
              </w:numPr>
              <w:autoSpaceDE/>
              <w:autoSpaceDN/>
              <w:spacing w:after="0"/>
              <w:jc w:val="left"/>
              <w:rPr>
                <w:rFonts w:eastAsia="Times New Roman" w:cs="Times"/>
                <w:lang w:eastAsia="zh-CN"/>
              </w:rPr>
            </w:pPr>
            <w:r>
              <w:rPr>
                <w:rFonts w:eastAsia="Times New Roman" w:cs="Times"/>
                <w:lang w:eastAsia="zh-CN"/>
              </w:rPr>
              <w:t xml:space="preserve">It is up to RAN 2 to design the container </w:t>
            </w:r>
          </w:p>
          <w:p w14:paraId="31658A07" w14:textId="77777777" w:rsidR="006846FA" w:rsidRDefault="006846FA" w:rsidP="004A4578">
            <w:pPr>
              <w:numPr>
                <w:ilvl w:val="2"/>
                <w:numId w:val="16"/>
              </w:numPr>
              <w:autoSpaceDE/>
              <w:autoSpaceDN/>
              <w:spacing w:after="0"/>
              <w:jc w:val="left"/>
              <w:rPr>
                <w:rFonts w:eastAsia="Times New Roman" w:cs="Times"/>
                <w:lang w:eastAsia="zh-CN"/>
              </w:rPr>
            </w:pPr>
            <w:r>
              <w:rPr>
                <w:rFonts w:eastAsia="Times New Roman" w:cs="Times"/>
                <w:lang w:eastAsia="zh-CN"/>
              </w:rPr>
              <w:t>A) one or more of </w:t>
            </w:r>
            <w:r>
              <w:rPr>
                <w:rFonts w:eastAsia="Times New Roman" w:cs="Times"/>
                <w:i/>
                <w:iCs/>
                <w:lang w:eastAsia="zh-CN"/>
              </w:rPr>
              <w:t>CSI-ReportConfig</w:t>
            </w:r>
            <w:r>
              <w:rPr>
                <w:rFonts w:eastAsia="Times New Roman" w:cs="Times"/>
                <w:lang w:eastAsia="zh-CN"/>
              </w:rPr>
              <w:t xml:space="preserve"> for inference configuration</w:t>
            </w:r>
            <w:r>
              <w:rPr>
                <w:rFonts w:eastAsia="Times New Roman" w:cs="Times"/>
                <w:i/>
                <w:iCs/>
                <w:lang w:eastAsia="zh-CN"/>
              </w:rPr>
              <w:t> </w:t>
            </w:r>
            <w:r>
              <w:rPr>
                <w:rFonts w:eastAsia="Times New Roman" w:cs="Times"/>
                <w:lang w:eastAsia="zh-CN"/>
              </w:rPr>
              <w:t>(wherein the associated ID may be configured in CSI framework as working assumption applied)</w:t>
            </w:r>
            <w:r>
              <w:rPr>
                <w:rFonts w:eastAsia="Times New Roman" w:cs="Times"/>
                <w:i/>
                <w:iCs/>
                <w:lang w:eastAsia="zh-CN"/>
              </w:rPr>
              <w:t xml:space="preserve"> </w:t>
            </w:r>
          </w:p>
          <w:p w14:paraId="1F6CE94A" w14:textId="77777777" w:rsidR="006846FA" w:rsidRDefault="006846FA" w:rsidP="004A4578">
            <w:pPr>
              <w:numPr>
                <w:ilvl w:val="3"/>
                <w:numId w:val="16"/>
              </w:numPr>
              <w:autoSpaceDE/>
              <w:autoSpaceDN/>
              <w:spacing w:after="0"/>
              <w:jc w:val="left"/>
              <w:rPr>
                <w:rFonts w:eastAsia="DengXian" w:cs="Times"/>
                <w:lang w:eastAsia="de-DE"/>
              </w:rPr>
            </w:pPr>
            <w:r>
              <w:rPr>
                <w:rFonts w:cs="Times"/>
              </w:rPr>
              <w:t xml:space="preserve">Note: </w:t>
            </w:r>
            <w:r>
              <w:rPr>
                <w:rFonts w:cs="Times"/>
                <w:lang w:eastAsia="de-DE"/>
              </w:rPr>
              <w:t xml:space="preserve">CSI report </w:t>
            </w:r>
            <w:r>
              <w:rPr>
                <w:rFonts w:cs="Times"/>
              </w:rPr>
              <w:t xml:space="preserve">configuration </w:t>
            </w:r>
            <w:r>
              <w:rPr>
                <w:rFonts w:cs="Times"/>
                <w:lang w:eastAsia="de-DE"/>
              </w:rPr>
              <w:t>for UE-side model inference can</w:t>
            </w:r>
            <w:r>
              <w:rPr>
                <w:rFonts w:cs="Times"/>
              </w:rPr>
              <w:t>’t</w:t>
            </w:r>
            <w:r>
              <w:rPr>
                <w:rFonts w:cs="Times"/>
                <w:lang w:eastAsia="de-DE"/>
              </w:rPr>
              <w:t xml:space="preserve"> be activated immediately upon receiving Step 3</w:t>
            </w:r>
          </w:p>
          <w:p w14:paraId="303E7EF2" w14:textId="77777777" w:rsidR="006846FA" w:rsidRDefault="006846FA" w:rsidP="004A4578">
            <w:pPr>
              <w:numPr>
                <w:ilvl w:val="2"/>
                <w:numId w:val="16"/>
              </w:numPr>
              <w:autoSpaceDE/>
              <w:autoSpaceDN/>
              <w:spacing w:after="0"/>
              <w:jc w:val="left"/>
              <w:rPr>
                <w:rFonts w:eastAsia="Times New Roman" w:cs="Times"/>
                <w:lang w:eastAsia="zh-CN"/>
              </w:rPr>
            </w:pPr>
            <w:r>
              <w:rPr>
                <w:rFonts w:eastAsia="Times New Roman" w:cs="Times"/>
                <w:lang w:eastAsia="zh-CN"/>
              </w:rPr>
              <w:t>B) One set or multiple sets of inference related parameters for applicability report only (not for inference)</w:t>
            </w:r>
          </w:p>
          <w:p w14:paraId="6898D331" w14:textId="77777777" w:rsidR="006846FA" w:rsidRDefault="006846FA" w:rsidP="004A4578">
            <w:pPr>
              <w:numPr>
                <w:ilvl w:val="3"/>
                <w:numId w:val="16"/>
              </w:numPr>
              <w:autoSpaceDE/>
              <w:autoSpaceDN/>
              <w:spacing w:after="0"/>
              <w:jc w:val="left"/>
              <w:rPr>
                <w:rFonts w:eastAsia="Times New Roman" w:cs="Times"/>
                <w:lang w:eastAsia="zh-CN"/>
              </w:rPr>
            </w:pPr>
            <w:r>
              <w:rPr>
                <w:rFonts w:eastAsia="Times New Roman" w:cs="Times"/>
              </w:rPr>
              <w:t>It is up to RAN2 to design the container.</w:t>
            </w:r>
          </w:p>
          <w:p w14:paraId="49EAF15E" w14:textId="77777777" w:rsidR="006846FA" w:rsidRDefault="006846FA" w:rsidP="004A4578">
            <w:pPr>
              <w:numPr>
                <w:ilvl w:val="3"/>
                <w:numId w:val="16"/>
              </w:numPr>
              <w:autoSpaceDE/>
              <w:autoSpaceDN/>
              <w:spacing w:after="0"/>
              <w:jc w:val="left"/>
              <w:rPr>
                <w:rFonts w:eastAsia="Times New Roman" w:cs="Times"/>
                <w:lang w:eastAsia="zh-CN"/>
              </w:rPr>
            </w:pPr>
            <w:r>
              <w:rPr>
                <w:rFonts w:eastAsia="Times New Roman" w:cs="Times"/>
              </w:rPr>
              <w:t xml:space="preserve">The set of inference related parameters selected from the IEs in/or the IEs referred by </w:t>
            </w:r>
            <w:r>
              <w:rPr>
                <w:rFonts w:eastAsia="Times New Roman" w:cs="Times"/>
                <w:i/>
                <w:iCs/>
              </w:rPr>
              <w:t>CSI-ReportConfig</w:t>
            </w:r>
            <w:r>
              <w:rPr>
                <w:rFonts w:eastAsia="Times New Roman" w:cs="Times"/>
              </w:rPr>
              <w:t xml:space="preserve"> as a starting point, e.g., </w:t>
            </w:r>
          </w:p>
          <w:p w14:paraId="553A7292" w14:textId="77777777" w:rsidR="006846FA" w:rsidRDefault="006846FA" w:rsidP="004A4578">
            <w:pPr>
              <w:numPr>
                <w:ilvl w:val="4"/>
                <w:numId w:val="16"/>
              </w:numPr>
              <w:autoSpaceDE/>
              <w:autoSpaceDN/>
              <w:spacing w:after="0"/>
              <w:jc w:val="left"/>
              <w:rPr>
                <w:rFonts w:eastAsia="Times New Roman" w:cs="Times"/>
                <w:lang w:eastAsia="zh-CN"/>
              </w:rPr>
            </w:pPr>
            <w:r>
              <w:rPr>
                <w:rFonts w:eastAsia="Times New Roman" w:cs="Times"/>
                <w:lang w:eastAsia="zh-CN"/>
              </w:rPr>
              <w:t>the associated ID</w:t>
            </w:r>
          </w:p>
          <w:p w14:paraId="3E4A398F" w14:textId="77777777" w:rsidR="006846FA" w:rsidRDefault="006846FA" w:rsidP="004A4578">
            <w:pPr>
              <w:numPr>
                <w:ilvl w:val="5"/>
                <w:numId w:val="16"/>
              </w:numPr>
              <w:autoSpaceDE/>
              <w:autoSpaceDN/>
              <w:spacing w:after="0"/>
              <w:jc w:val="left"/>
              <w:rPr>
                <w:rFonts w:eastAsia="Times New Roman" w:cs="Times"/>
                <w:lang w:eastAsia="zh-CN"/>
              </w:rPr>
            </w:pPr>
            <w:r>
              <w:rPr>
                <w:rFonts w:eastAsia="Times New Roman" w:cs="Times"/>
                <w:lang w:eastAsia="zh-CN"/>
              </w:rPr>
              <w:t xml:space="preserve">Note: this doesn’t imply the associated ID is mandatory </w:t>
            </w:r>
          </w:p>
          <w:p w14:paraId="408EF9B7" w14:textId="77777777" w:rsidR="006846FA" w:rsidRDefault="006846FA" w:rsidP="004A4578">
            <w:pPr>
              <w:numPr>
                <w:ilvl w:val="4"/>
                <w:numId w:val="16"/>
              </w:numPr>
              <w:autoSpaceDE/>
              <w:autoSpaceDN/>
              <w:spacing w:after="0"/>
              <w:jc w:val="left"/>
              <w:rPr>
                <w:rFonts w:eastAsia="Times New Roman" w:cs="Times"/>
                <w:lang w:eastAsia="zh-CN"/>
              </w:rPr>
            </w:pPr>
            <w:r>
              <w:rPr>
                <w:rFonts w:eastAsia="Times New Roman" w:cs="Times"/>
                <w:lang w:eastAsia="zh-CN"/>
              </w:rPr>
              <w:t>Set A related information</w:t>
            </w:r>
          </w:p>
          <w:p w14:paraId="480EC85B" w14:textId="77777777" w:rsidR="006846FA" w:rsidRDefault="006846FA" w:rsidP="004A4578">
            <w:pPr>
              <w:numPr>
                <w:ilvl w:val="4"/>
                <w:numId w:val="16"/>
              </w:numPr>
              <w:autoSpaceDE/>
              <w:autoSpaceDN/>
              <w:spacing w:after="0"/>
              <w:jc w:val="left"/>
              <w:rPr>
                <w:rFonts w:eastAsia="Times New Roman" w:cs="Times"/>
                <w:lang w:eastAsia="zh-CN"/>
              </w:rPr>
            </w:pPr>
            <w:r>
              <w:rPr>
                <w:rFonts w:eastAsia="Times New Roman" w:cs="Times"/>
                <w:lang w:eastAsia="zh-CN"/>
              </w:rPr>
              <w:t>Set B related information</w:t>
            </w:r>
          </w:p>
          <w:p w14:paraId="7A2933F4" w14:textId="77777777" w:rsidR="006846FA" w:rsidRDefault="006846FA" w:rsidP="004A4578">
            <w:pPr>
              <w:numPr>
                <w:ilvl w:val="4"/>
                <w:numId w:val="16"/>
              </w:numPr>
              <w:autoSpaceDE/>
              <w:autoSpaceDN/>
              <w:spacing w:after="0"/>
              <w:jc w:val="left"/>
              <w:rPr>
                <w:rFonts w:eastAsia="Times New Roman" w:cs="Times"/>
                <w:lang w:eastAsia="zh-CN"/>
              </w:rPr>
            </w:pPr>
            <w:r>
              <w:rPr>
                <w:rFonts w:eastAsia="Times New Roman" w:cs="Times"/>
                <w:lang w:eastAsia="zh-CN"/>
              </w:rPr>
              <w:lastRenderedPageBreak/>
              <w:t>Report content related information </w:t>
            </w:r>
          </w:p>
          <w:p w14:paraId="19BB233C" w14:textId="77777777" w:rsidR="006846FA" w:rsidRDefault="006846FA" w:rsidP="004A4578">
            <w:pPr>
              <w:numPr>
                <w:ilvl w:val="4"/>
                <w:numId w:val="16"/>
              </w:numPr>
              <w:autoSpaceDE/>
              <w:autoSpaceDN/>
              <w:spacing w:after="0"/>
              <w:jc w:val="left"/>
              <w:rPr>
                <w:rFonts w:eastAsia="Times New Roman" w:cs="Times"/>
                <w:lang w:eastAsia="zh-CN"/>
              </w:rPr>
            </w:pPr>
            <w:r>
              <w:rPr>
                <w:rFonts w:eastAsia="Times New Roman" w:cs="Times"/>
                <w:lang w:eastAsia="zh-CN"/>
              </w:rPr>
              <w:t>For BM-Case 2, </w:t>
            </w:r>
          </w:p>
          <w:p w14:paraId="3B43778F" w14:textId="77777777" w:rsidR="006846FA" w:rsidRDefault="006846FA" w:rsidP="004A4578">
            <w:pPr>
              <w:numPr>
                <w:ilvl w:val="5"/>
                <w:numId w:val="16"/>
              </w:numPr>
              <w:autoSpaceDE/>
              <w:autoSpaceDN/>
              <w:spacing w:after="0"/>
              <w:jc w:val="left"/>
              <w:rPr>
                <w:rFonts w:eastAsia="Times New Roman" w:cs="Times"/>
                <w:lang w:eastAsia="zh-CN"/>
              </w:rPr>
            </w:pPr>
            <w:r>
              <w:rPr>
                <w:rFonts w:eastAsia="Times New Roman" w:cs="Times"/>
                <w:lang w:eastAsia="zh-CN"/>
              </w:rPr>
              <w:t>Time instances related information for measurements</w:t>
            </w:r>
          </w:p>
          <w:p w14:paraId="264E7CB9" w14:textId="77777777" w:rsidR="006846FA" w:rsidRDefault="006846FA" w:rsidP="004A4578">
            <w:pPr>
              <w:numPr>
                <w:ilvl w:val="5"/>
                <w:numId w:val="16"/>
              </w:numPr>
              <w:autoSpaceDE/>
              <w:autoSpaceDN/>
              <w:spacing w:after="0"/>
              <w:jc w:val="left"/>
              <w:rPr>
                <w:rFonts w:eastAsia="Times New Roman" w:cs="Times"/>
                <w:lang w:eastAsia="zh-CN"/>
              </w:rPr>
            </w:pPr>
            <w:r>
              <w:rPr>
                <w:rFonts w:eastAsia="Times New Roman" w:cs="Times"/>
                <w:lang w:eastAsia="zh-CN"/>
              </w:rPr>
              <w:t>Time instances related information for prediction</w:t>
            </w:r>
          </w:p>
          <w:p w14:paraId="2C137B88" w14:textId="77777777" w:rsidR="006846FA" w:rsidRDefault="006846FA" w:rsidP="004A4578">
            <w:pPr>
              <w:numPr>
                <w:ilvl w:val="0"/>
                <w:numId w:val="16"/>
              </w:numPr>
              <w:autoSpaceDE/>
              <w:autoSpaceDN/>
              <w:spacing w:after="0"/>
              <w:jc w:val="left"/>
              <w:rPr>
                <w:rFonts w:eastAsia="Times New Roman" w:cs="Times"/>
                <w:lang w:eastAsia="zh-CN"/>
              </w:rPr>
            </w:pPr>
            <w:r>
              <w:rPr>
                <w:rFonts w:eastAsia="Times New Roman" w:cs="Times"/>
                <w:lang w:eastAsia="zh-CN"/>
              </w:rPr>
              <w:t>In Step 4, UE reports applicability for all the above A) one or more </w:t>
            </w:r>
            <w:r>
              <w:rPr>
                <w:rFonts w:eastAsia="Times New Roman" w:cs="Times"/>
                <w:i/>
                <w:iCs/>
                <w:lang w:eastAsia="zh-CN"/>
              </w:rPr>
              <w:t>CSI-ReportConfig </w:t>
            </w:r>
            <w:r>
              <w:rPr>
                <w:rFonts w:eastAsia="Times New Roman" w:cs="Times"/>
                <w:lang w:eastAsia="zh-CN"/>
              </w:rPr>
              <w:t>and/or B) set(s) of inference related parameters </w:t>
            </w:r>
          </w:p>
          <w:p w14:paraId="0276DE56" w14:textId="77777777" w:rsidR="006846FA" w:rsidRDefault="006846FA" w:rsidP="004A4578">
            <w:pPr>
              <w:numPr>
                <w:ilvl w:val="1"/>
                <w:numId w:val="16"/>
              </w:numPr>
              <w:autoSpaceDE/>
              <w:autoSpaceDN/>
              <w:spacing w:after="0"/>
              <w:jc w:val="left"/>
              <w:rPr>
                <w:rFonts w:eastAsia="Times New Roman" w:cs="Times"/>
                <w:lang w:eastAsia="zh-CN"/>
              </w:rPr>
            </w:pPr>
            <w:r>
              <w:rPr>
                <w:rFonts w:eastAsia="Times New Roman" w:cs="Times"/>
                <w:lang w:eastAsia="zh-CN"/>
              </w:rPr>
              <w:t>FFS on whether/what other information along with the applicability is needed</w:t>
            </w:r>
          </w:p>
          <w:p w14:paraId="253C3920" w14:textId="77777777" w:rsidR="006846FA" w:rsidRDefault="006846FA" w:rsidP="004A4578">
            <w:pPr>
              <w:numPr>
                <w:ilvl w:val="1"/>
                <w:numId w:val="16"/>
              </w:numPr>
              <w:autoSpaceDE/>
              <w:autoSpaceDN/>
              <w:spacing w:after="0"/>
              <w:jc w:val="left"/>
              <w:rPr>
                <w:rFonts w:eastAsia="Times New Roman" w:cs="Times"/>
                <w:lang w:eastAsia="zh-CN"/>
              </w:rPr>
            </w:pPr>
            <w:r>
              <w:rPr>
                <w:rFonts w:eastAsia="Times New Roman" w:cs="Times"/>
                <w:lang w:eastAsia="zh-CN"/>
              </w:rPr>
              <w:t>If</w:t>
            </w:r>
            <w:r>
              <w:rPr>
                <w:rFonts w:eastAsia="Times New Roman"/>
                <w:lang w:eastAsia="zh-CN"/>
              </w:rPr>
              <w:t> A)</w:t>
            </w:r>
            <w:r>
              <w:rPr>
                <w:rFonts w:eastAsia="Times New Roman"/>
                <w:i/>
                <w:iCs/>
                <w:lang w:eastAsia="zh-CN"/>
              </w:rPr>
              <w:t> </w:t>
            </w:r>
            <w:r>
              <w:rPr>
                <w:rFonts w:eastAsia="Times New Roman" w:cs="Times"/>
                <w:lang w:eastAsia="zh-CN"/>
              </w:rPr>
              <w:t xml:space="preserve">is configured in Step 3, </w:t>
            </w:r>
          </w:p>
          <w:p w14:paraId="126836BB" w14:textId="77777777" w:rsidR="006846FA" w:rsidRDefault="006846FA" w:rsidP="004A4578">
            <w:pPr>
              <w:numPr>
                <w:ilvl w:val="2"/>
                <w:numId w:val="16"/>
              </w:numPr>
              <w:autoSpaceDE/>
              <w:autoSpaceDN/>
              <w:spacing w:after="0"/>
              <w:jc w:val="left"/>
              <w:rPr>
                <w:rFonts w:eastAsia="Times New Roman" w:cs="Times"/>
                <w:lang w:eastAsia="zh-CN"/>
              </w:rPr>
            </w:pPr>
            <w:r>
              <w:rPr>
                <w:rFonts w:eastAsia="Times New Roman" w:cs="Times"/>
                <w:lang w:eastAsia="zh-CN"/>
              </w:rPr>
              <w:t>Applicable aperiodic CSI Report and semi-persistent CSI report can be activated/triggered by NW after the applicability reported.  </w:t>
            </w:r>
          </w:p>
          <w:p w14:paraId="43084D98" w14:textId="77777777" w:rsidR="006846FA" w:rsidRDefault="006846FA" w:rsidP="004A4578">
            <w:pPr>
              <w:numPr>
                <w:ilvl w:val="2"/>
                <w:numId w:val="16"/>
              </w:numPr>
              <w:autoSpaceDE/>
              <w:autoSpaceDN/>
              <w:spacing w:after="0"/>
              <w:jc w:val="left"/>
              <w:rPr>
                <w:rFonts w:eastAsia="Times New Roman" w:cs="Times"/>
                <w:lang w:eastAsia="zh-CN"/>
              </w:rPr>
            </w:pPr>
            <w:r>
              <w:rPr>
                <w:rFonts w:eastAsia="Times New Roman" w:cs="Times"/>
                <w:lang w:eastAsia="zh-CN"/>
              </w:rPr>
              <w:t xml:space="preserve">Applicable periodic CSI Report is considered as activated only if the applicability of the corresponding </w:t>
            </w:r>
            <w:r>
              <w:rPr>
                <w:rFonts w:eastAsia="Times New Roman" w:cs="Times"/>
                <w:i/>
                <w:iCs/>
                <w:lang w:eastAsia="zh-CN"/>
              </w:rPr>
              <w:t>CSI-ReportConfig </w:t>
            </w:r>
            <w:r>
              <w:rPr>
                <w:rFonts w:eastAsia="Times New Roman" w:cs="Times"/>
                <w:lang w:eastAsia="zh-CN"/>
              </w:rPr>
              <w:t>is reported in </w:t>
            </w:r>
            <w:r>
              <w:rPr>
                <w:rFonts w:eastAsia="Times New Roman" w:cs="Times"/>
                <w:i/>
                <w:iCs/>
                <w:lang w:eastAsia="zh-CN"/>
              </w:rPr>
              <w:t>RRCReconfigurationComplete.</w:t>
            </w:r>
          </w:p>
          <w:p w14:paraId="309599C2" w14:textId="77777777" w:rsidR="006846FA" w:rsidRDefault="006846FA" w:rsidP="004A4578">
            <w:pPr>
              <w:numPr>
                <w:ilvl w:val="0"/>
                <w:numId w:val="16"/>
              </w:numPr>
              <w:autoSpaceDE/>
              <w:autoSpaceDN/>
              <w:spacing w:after="0"/>
              <w:jc w:val="left"/>
              <w:rPr>
                <w:rFonts w:eastAsia="Times New Roman" w:cs="Times"/>
                <w:lang w:eastAsia="zh-CN"/>
              </w:rPr>
            </w:pPr>
            <w:r>
              <w:rPr>
                <w:rFonts w:eastAsia="Times New Roman" w:cs="Times"/>
                <w:lang w:eastAsia="zh-CN"/>
              </w:rPr>
              <w:t>In Step 5, NW can optionally configure </w:t>
            </w:r>
            <w:r>
              <w:rPr>
                <w:rFonts w:eastAsia="Times New Roman" w:cs="Times"/>
                <w:i/>
                <w:iCs/>
                <w:lang w:eastAsia="zh-CN"/>
              </w:rPr>
              <w:t>CSI-ReportConfig</w:t>
            </w:r>
            <w:r>
              <w:rPr>
                <w:rFonts w:eastAsia="Times New Roman" w:cs="Times"/>
                <w:lang w:eastAsia="zh-CN"/>
              </w:rPr>
              <w:t> for inference configuration in </w:t>
            </w:r>
            <w:proofErr w:type="spellStart"/>
            <w:r>
              <w:rPr>
                <w:rFonts w:eastAsia="Times New Roman" w:cs="Times"/>
                <w:i/>
                <w:iCs/>
                <w:lang w:eastAsia="zh-CN"/>
              </w:rPr>
              <w:t>RRCReconfiguration</w:t>
            </w:r>
            <w:proofErr w:type="spellEnd"/>
            <w:r>
              <w:rPr>
                <w:rFonts w:eastAsia="Times New Roman" w:cs="Times"/>
                <w:lang w:eastAsia="zh-CN"/>
              </w:rPr>
              <w:t>, where the associated ID may be configured in CSI framework as working assumption applied.</w:t>
            </w:r>
          </w:p>
          <w:p w14:paraId="763883A3" w14:textId="77777777" w:rsidR="006846FA" w:rsidRDefault="006846FA" w:rsidP="004A4578">
            <w:pPr>
              <w:numPr>
                <w:ilvl w:val="1"/>
                <w:numId w:val="16"/>
              </w:numPr>
              <w:autoSpaceDE/>
              <w:autoSpaceDN/>
              <w:spacing w:after="0"/>
              <w:jc w:val="left"/>
              <w:rPr>
                <w:rFonts w:eastAsia="Times New Roman" w:cs="Times"/>
                <w:lang w:eastAsia="zh-CN"/>
              </w:rPr>
            </w:pPr>
            <w:r>
              <w:rPr>
                <w:rFonts w:eastAsia="Times New Roman" w:cs="Times"/>
                <w:lang w:eastAsia="zh-CN"/>
              </w:rPr>
              <w:t>Note: Step 5 may be optional if UE has already been configured with </w:t>
            </w:r>
            <w:r>
              <w:rPr>
                <w:rFonts w:eastAsia="Times New Roman" w:cs="Times"/>
                <w:i/>
                <w:iCs/>
                <w:lang w:eastAsia="zh-CN"/>
              </w:rPr>
              <w:t>CSI-ReportConfig</w:t>
            </w:r>
            <w:r>
              <w:rPr>
                <w:rFonts w:eastAsia="Times New Roman" w:cs="Times"/>
                <w:lang w:eastAsia="zh-CN"/>
              </w:rPr>
              <w:t xml:space="preserve"> in Step 3</w:t>
            </w:r>
          </w:p>
          <w:p w14:paraId="711EEE16" w14:textId="77777777" w:rsidR="006846FA" w:rsidRDefault="006846FA" w:rsidP="00A75806">
            <w:pPr>
              <w:rPr>
                <w:rFonts w:eastAsia="Times New Roman" w:cs="Times"/>
                <w:lang w:eastAsia="zh-CN"/>
              </w:rPr>
            </w:pPr>
          </w:p>
          <w:p w14:paraId="4AA0B528" w14:textId="77777777" w:rsidR="006846FA" w:rsidRDefault="006846FA" w:rsidP="00A75806">
            <w:pPr>
              <w:rPr>
                <w:rFonts w:eastAsia="DengXian"/>
                <w:highlight w:val="green"/>
                <w:lang w:eastAsia="zh-CN"/>
              </w:rPr>
            </w:pPr>
            <w:r>
              <w:rPr>
                <w:rFonts w:eastAsia="DengXian" w:hint="eastAsia"/>
                <w:highlight w:val="green"/>
                <w:lang w:eastAsia="zh-CN"/>
              </w:rPr>
              <w:t>Agreement</w:t>
            </w:r>
          </w:p>
          <w:p w14:paraId="1252A06B" w14:textId="77777777" w:rsidR="006846FA" w:rsidRDefault="006846FA" w:rsidP="00A75806">
            <w:pPr>
              <w:rPr>
                <w:rFonts w:eastAsia="DengXian"/>
                <w:lang w:eastAsia="zh-CN"/>
              </w:rPr>
            </w:pPr>
            <w:r>
              <w:rPr>
                <w:rFonts w:eastAsia="DengXian" w:hint="eastAsia"/>
                <w:lang w:eastAsia="zh-CN"/>
              </w:rPr>
              <w:t>For beam management, m</w:t>
            </w:r>
            <w:r w:rsidRPr="002F5B54">
              <w:t>ultiple CSI reports for inference for UE-side model can be configured/activated</w:t>
            </w:r>
            <w:r>
              <w:rPr>
                <w:rFonts w:eastAsia="DengXian" w:hint="eastAsia"/>
                <w:lang w:eastAsia="zh-CN"/>
              </w:rPr>
              <w:t>/</w:t>
            </w:r>
            <w:r>
              <w:rPr>
                <w:rFonts w:eastAsia="DengXian"/>
                <w:lang w:eastAsia="zh-CN"/>
              </w:rPr>
              <w:t>triggered</w:t>
            </w:r>
            <w:r w:rsidRPr="002F5B54">
              <w:t>, which is up to UE capability</w:t>
            </w:r>
            <w:r>
              <w:rPr>
                <w:rFonts w:eastAsia="DengXian" w:hint="eastAsia"/>
                <w:lang w:eastAsia="zh-CN"/>
              </w:rPr>
              <w:t>.</w:t>
            </w:r>
          </w:p>
          <w:p w14:paraId="06E0D708" w14:textId="77777777" w:rsidR="006846FA" w:rsidRDefault="006846FA" w:rsidP="00A75806">
            <w:pPr>
              <w:rPr>
                <w:rFonts w:eastAsia="DengXian"/>
                <w:lang w:eastAsia="zh-CN"/>
              </w:rPr>
            </w:pPr>
          </w:p>
          <w:p w14:paraId="7AA5FD2F" w14:textId="77777777" w:rsidR="006846FA" w:rsidRDefault="006846FA" w:rsidP="00A75806">
            <w:pPr>
              <w:rPr>
                <w:rFonts w:eastAsia="DengXian"/>
                <w:lang w:eastAsia="zh-CN"/>
              </w:rPr>
            </w:pPr>
            <w:r>
              <w:rPr>
                <w:rFonts w:eastAsia="DengXian"/>
                <w:lang w:eastAsia="zh-CN"/>
              </w:rPr>
              <w:t>Conclusion</w:t>
            </w:r>
          </w:p>
          <w:p w14:paraId="4CEEE584" w14:textId="77777777" w:rsidR="006846FA" w:rsidRDefault="006846FA" w:rsidP="00A75806">
            <w:pPr>
              <w:rPr>
                <w:rFonts w:cs="Arial"/>
              </w:rPr>
            </w:pPr>
            <w:r>
              <w:rPr>
                <w:rFonts w:cs="Arial"/>
              </w:rPr>
              <w:t xml:space="preserve">For the </w:t>
            </w:r>
            <w:r>
              <w:rPr>
                <w:rFonts w:eastAsia="Times New Roman" w:cs="Times"/>
                <w:i/>
                <w:iCs/>
                <w:lang w:eastAsia="zh-CN"/>
              </w:rPr>
              <w:t>CSI-ReportConfig</w:t>
            </w:r>
            <w:r>
              <w:rPr>
                <w:rFonts w:eastAsia="Times New Roman" w:cs="Times"/>
                <w:lang w:eastAsia="zh-CN"/>
              </w:rPr>
              <w:t xml:space="preserve"> for inference configuration provided in </w:t>
            </w:r>
            <w:r>
              <w:rPr>
                <w:rFonts w:cs="Arial"/>
              </w:rPr>
              <w:t>Step 5,</w:t>
            </w:r>
          </w:p>
          <w:p w14:paraId="03E7D319" w14:textId="77777777" w:rsidR="006846FA" w:rsidRDefault="006846FA" w:rsidP="004A4578">
            <w:pPr>
              <w:pStyle w:val="ListParagraph"/>
              <w:numPr>
                <w:ilvl w:val="0"/>
                <w:numId w:val="17"/>
              </w:numPr>
              <w:autoSpaceDE/>
              <w:autoSpaceDN/>
              <w:adjustRightInd/>
              <w:snapToGrid/>
              <w:spacing w:after="0"/>
              <w:ind w:firstLineChars="0"/>
              <w:contextualSpacing/>
              <w:jc w:val="left"/>
              <w:rPr>
                <w:rFonts w:eastAsia="Times New Roman" w:cs="Times"/>
                <w:szCs w:val="20"/>
                <w:lang w:eastAsia="zh-CN"/>
              </w:rPr>
            </w:pPr>
            <w:r>
              <w:rPr>
                <w:rFonts w:eastAsia="Times New Roman" w:cs="Times"/>
                <w:szCs w:val="20"/>
                <w:lang w:eastAsia="zh-CN"/>
              </w:rPr>
              <w:t xml:space="preserve">aperiodic CSI Report and semi-persistent CSI report can be activated/triggered by NW after </w:t>
            </w:r>
            <w:r>
              <w:rPr>
                <w:rFonts w:eastAsia="Times New Roman" w:cs="Times"/>
                <w:i/>
                <w:iCs/>
                <w:szCs w:val="20"/>
                <w:lang w:eastAsia="zh-CN"/>
              </w:rPr>
              <w:t>RRCReconfigurationComplete</w:t>
            </w:r>
            <w:r>
              <w:rPr>
                <w:rFonts w:eastAsia="Times New Roman" w:cs="Times"/>
                <w:szCs w:val="20"/>
                <w:lang w:eastAsia="zh-CN"/>
              </w:rPr>
              <w:t>.</w:t>
            </w:r>
          </w:p>
          <w:p w14:paraId="6F9A06E6" w14:textId="77777777" w:rsidR="006846FA" w:rsidRDefault="006846FA" w:rsidP="004A4578">
            <w:pPr>
              <w:pStyle w:val="ListParagraph"/>
              <w:numPr>
                <w:ilvl w:val="0"/>
                <w:numId w:val="17"/>
              </w:numPr>
              <w:autoSpaceDE/>
              <w:autoSpaceDN/>
              <w:adjustRightInd/>
              <w:snapToGrid/>
              <w:spacing w:after="0"/>
              <w:ind w:firstLineChars="0"/>
              <w:contextualSpacing/>
              <w:jc w:val="left"/>
              <w:rPr>
                <w:rFonts w:eastAsia="Times New Roman" w:cs="Times"/>
                <w:szCs w:val="20"/>
                <w:lang w:eastAsia="zh-CN"/>
              </w:rPr>
            </w:pPr>
            <w:r>
              <w:rPr>
                <w:rFonts w:eastAsia="Times New Roman" w:cs="Times"/>
                <w:szCs w:val="20"/>
                <w:lang w:eastAsia="zh-CN"/>
              </w:rPr>
              <w:t xml:space="preserve">periodic CSI Report is considered as activated after </w:t>
            </w:r>
            <w:r>
              <w:rPr>
                <w:rFonts w:eastAsia="Times New Roman" w:cs="Times"/>
                <w:i/>
                <w:iCs/>
                <w:szCs w:val="20"/>
                <w:lang w:eastAsia="zh-CN"/>
              </w:rPr>
              <w:t>RRCReconfigurationComplete</w:t>
            </w:r>
            <w:r>
              <w:rPr>
                <w:rFonts w:eastAsia="Times New Roman" w:cs="Times"/>
                <w:szCs w:val="20"/>
                <w:lang w:eastAsia="zh-CN"/>
              </w:rPr>
              <w:t>.</w:t>
            </w:r>
            <w:r>
              <w:rPr>
                <w:rFonts w:eastAsia="Times New Roman" w:cs="Times"/>
                <w:i/>
                <w:iCs/>
                <w:lang w:eastAsia="zh-CN"/>
              </w:rPr>
              <w:t xml:space="preserve"> </w:t>
            </w:r>
          </w:p>
          <w:p w14:paraId="030794D4" w14:textId="77777777" w:rsidR="006846FA" w:rsidRDefault="006846FA" w:rsidP="004A4578">
            <w:pPr>
              <w:pStyle w:val="ListParagraph"/>
              <w:numPr>
                <w:ilvl w:val="0"/>
                <w:numId w:val="17"/>
              </w:numPr>
              <w:autoSpaceDE/>
              <w:autoSpaceDN/>
              <w:adjustRightInd/>
              <w:snapToGrid/>
              <w:spacing w:after="0"/>
              <w:ind w:firstLineChars="0"/>
              <w:contextualSpacing/>
              <w:jc w:val="left"/>
              <w:rPr>
                <w:rFonts w:eastAsia="Times New Roman" w:cs="Times"/>
                <w:szCs w:val="20"/>
                <w:lang w:eastAsia="zh-CN"/>
              </w:rPr>
            </w:pPr>
            <w:r>
              <w:rPr>
                <w:rFonts w:eastAsia="Times New Roman" w:cs="Times"/>
                <w:szCs w:val="20"/>
                <w:lang w:eastAsia="zh-CN"/>
              </w:rPr>
              <w:t xml:space="preserve">Note: UE is not expected to be configured with a </w:t>
            </w:r>
            <w:r>
              <w:rPr>
                <w:rFonts w:eastAsia="Times New Roman" w:cs="Times"/>
                <w:i/>
                <w:iCs/>
                <w:szCs w:val="20"/>
                <w:lang w:eastAsia="zh-CN"/>
              </w:rPr>
              <w:t>CSI-ReportConfig</w:t>
            </w:r>
            <w:r>
              <w:rPr>
                <w:rFonts w:eastAsia="Times New Roman" w:cs="Times"/>
                <w:szCs w:val="20"/>
                <w:lang w:eastAsia="zh-CN"/>
              </w:rPr>
              <w:t xml:space="preserve"> for inference configuration for a non-applicable set of inference parameters or a non-applicable </w:t>
            </w:r>
            <w:r>
              <w:rPr>
                <w:rFonts w:eastAsia="Times New Roman" w:cs="Times"/>
                <w:i/>
                <w:iCs/>
                <w:szCs w:val="20"/>
                <w:lang w:eastAsia="zh-CN"/>
              </w:rPr>
              <w:t>CSI-ReportConfig</w:t>
            </w:r>
            <w:r>
              <w:rPr>
                <w:rFonts w:eastAsia="Times New Roman" w:cs="Times"/>
                <w:szCs w:val="20"/>
                <w:lang w:eastAsia="zh-CN"/>
              </w:rPr>
              <w:t> </w:t>
            </w:r>
            <w:r>
              <w:rPr>
                <w:rFonts w:eastAsia="Times New Roman" w:cs="Times" w:hint="eastAsia"/>
                <w:szCs w:val="20"/>
                <w:lang w:eastAsia="zh-CN"/>
              </w:rPr>
              <w:t xml:space="preserve"> </w:t>
            </w:r>
          </w:p>
          <w:p w14:paraId="77CD50C6" w14:textId="13A92E07" w:rsidR="006846FA" w:rsidRPr="006846FA" w:rsidRDefault="006846FA" w:rsidP="004A4578">
            <w:pPr>
              <w:pStyle w:val="ListParagraph"/>
              <w:numPr>
                <w:ilvl w:val="1"/>
                <w:numId w:val="17"/>
              </w:numPr>
              <w:autoSpaceDE/>
              <w:autoSpaceDN/>
              <w:adjustRightInd/>
              <w:snapToGrid/>
              <w:spacing w:after="0"/>
              <w:ind w:firstLineChars="0"/>
              <w:contextualSpacing/>
              <w:jc w:val="left"/>
              <w:rPr>
                <w:rFonts w:eastAsia="Times New Roman" w:cs="Times"/>
                <w:szCs w:val="20"/>
                <w:lang w:eastAsia="zh-CN"/>
              </w:rPr>
            </w:pPr>
            <w:r>
              <w:rPr>
                <w:rFonts w:eastAsia="Times New Roman" w:cs="Times" w:hint="eastAsia"/>
                <w:szCs w:val="20"/>
                <w:lang w:eastAsia="zh-CN"/>
              </w:rPr>
              <w:t>Any specification impact is a separate discussion</w:t>
            </w:r>
          </w:p>
        </w:tc>
      </w:tr>
    </w:tbl>
    <w:p w14:paraId="042C0E6A" w14:textId="63C7AD2F" w:rsidR="00E74BC3" w:rsidRPr="005D498B" w:rsidRDefault="00470FB2" w:rsidP="00AF2D19">
      <w:pPr>
        <w:rPr>
          <w:lang w:eastAsia="zh-CN"/>
        </w:rPr>
      </w:pPr>
      <w:r>
        <w:rPr>
          <w:lang w:eastAsia="zh-CN"/>
        </w:rPr>
        <w:lastRenderedPageBreak/>
        <w:t>In this paper, we discuss t</w:t>
      </w:r>
      <w:r w:rsidR="000B1F48">
        <w:rPr>
          <w:lang w:eastAsia="zh-CN"/>
        </w:rPr>
        <w:t>h</w:t>
      </w:r>
      <w:r>
        <w:rPr>
          <w:lang w:eastAsia="zh-CN"/>
        </w:rPr>
        <w:t>e FFSs</w:t>
      </w:r>
      <w:r w:rsidR="000B1F48">
        <w:rPr>
          <w:lang w:eastAsia="zh-CN"/>
        </w:rPr>
        <w:t xml:space="preserve"> highlighted </w:t>
      </w:r>
      <w:r>
        <w:rPr>
          <w:lang w:eastAsia="zh-CN"/>
        </w:rPr>
        <w:t xml:space="preserve">in the </w:t>
      </w:r>
      <w:r w:rsidR="009B38D4">
        <w:rPr>
          <w:rFonts w:hint="eastAsia"/>
          <w:lang w:eastAsia="zh-CN"/>
        </w:rPr>
        <w:t>above</w:t>
      </w:r>
      <w:r>
        <w:rPr>
          <w:lang w:eastAsia="zh-CN"/>
        </w:rPr>
        <w:t xml:space="preserve"> </w:t>
      </w:r>
      <w:r w:rsidR="0086297D">
        <w:rPr>
          <w:lang w:eastAsia="zh-CN"/>
        </w:rPr>
        <w:t>related to applicable reporting with</w:t>
      </w:r>
      <w:r w:rsidR="00F421B4">
        <w:rPr>
          <w:lang w:eastAsia="zh-CN"/>
        </w:rPr>
        <w:t xml:space="preserve"> </w:t>
      </w:r>
      <w:r w:rsidR="0035202E">
        <w:rPr>
          <w:lang w:eastAsia="zh-CN"/>
        </w:rPr>
        <w:t>consider</w:t>
      </w:r>
      <w:r w:rsidR="0086297D">
        <w:rPr>
          <w:lang w:eastAsia="zh-CN"/>
        </w:rPr>
        <w:t>ation of</w:t>
      </w:r>
      <w:r w:rsidR="003E5DE5">
        <w:rPr>
          <w:lang w:eastAsia="zh-CN"/>
        </w:rPr>
        <w:t xml:space="preserve"> the LS from RAN1</w:t>
      </w:r>
      <w:r w:rsidR="0086297D">
        <w:rPr>
          <w:lang w:eastAsia="zh-CN"/>
        </w:rPr>
        <w:t xml:space="preserve"> and performance monitoring based on latest RAN1 progress</w:t>
      </w:r>
      <w:r>
        <w:rPr>
          <w:lang w:eastAsia="zh-CN"/>
        </w:rPr>
        <w:t xml:space="preserve">. </w:t>
      </w:r>
    </w:p>
    <w:p w14:paraId="1133F972" w14:textId="3C058B48" w:rsidR="00D458FC" w:rsidRDefault="001B1025" w:rsidP="001836E6">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b w:val="0"/>
          <w:bCs w:val="0"/>
          <w:sz w:val="36"/>
          <w:szCs w:val="20"/>
          <w:lang w:eastAsia="en-GB"/>
        </w:rPr>
        <w:t xml:space="preserve">Discussion </w:t>
      </w:r>
    </w:p>
    <w:p w14:paraId="72646B3A" w14:textId="71593755" w:rsidR="00251ABA" w:rsidRDefault="005331D2" w:rsidP="005331D2">
      <w:pPr>
        <w:pStyle w:val="Heading2"/>
        <w:rPr>
          <w:rFonts w:ascii="Arial" w:eastAsia="Times New Roman" w:hAnsi="Arial"/>
          <w:b w:val="0"/>
          <w:sz w:val="28"/>
          <w:szCs w:val="20"/>
          <w:lang w:eastAsia="en-GB"/>
        </w:rPr>
      </w:pPr>
      <w:r>
        <w:rPr>
          <w:rFonts w:ascii="Arial" w:eastAsia="Times New Roman" w:hAnsi="Arial"/>
          <w:b w:val="0"/>
          <w:sz w:val="28"/>
          <w:szCs w:val="20"/>
          <w:lang w:eastAsia="en-GB"/>
        </w:rPr>
        <w:t>Applicable functionality determination</w:t>
      </w:r>
    </w:p>
    <w:p w14:paraId="682BEF36" w14:textId="22166F3F" w:rsidR="00EB42FD" w:rsidRDefault="00EB42FD" w:rsidP="00EB42FD">
      <w:pPr>
        <w:rPr>
          <w:lang w:eastAsia="zh-CN"/>
        </w:rPr>
      </w:pPr>
      <w:r>
        <w:rPr>
          <w:lang w:eastAsia="zh-CN"/>
        </w:rPr>
        <w:t>According to the LS</w:t>
      </w:r>
      <w:r>
        <w:rPr>
          <w:lang w:eastAsia="zh-CN"/>
        </w:rPr>
        <w:fldChar w:fldCharType="begin"/>
      </w:r>
      <w:r>
        <w:rPr>
          <w:lang w:eastAsia="zh-CN"/>
        </w:rPr>
        <w:instrText xml:space="preserve"> REF _Ref187673156 \r \h </w:instrText>
      </w:r>
      <w:r>
        <w:rPr>
          <w:lang w:eastAsia="zh-CN"/>
        </w:rPr>
      </w:r>
      <w:r>
        <w:rPr>
          <w:lang w:eastAsia="zh-CN"/>
        </w:rPr>
        <w:fldChar w:fldCharType="separate"/>
      </w:r>
      <w:r>
        <w:rPr>
          <w:lang w:eastAsia="zh-CN"/>
        </w:rPr>
        <w:t>[2]</w:t>
      </w:r>
      <w:r>
        <w:rPr>
          <w:lang w:eastAsia="zh-CN"/>
        </w:rPr>
        <w:fldChar w:fldCharType="end"/>
      </w:r>
      <w:r>
        <w:rPr>
          <w:lang w:eastAsia="zh-CN"/>
        </w:rPr>
        <w:t>, RAN</w:t>
      </w:r>
      <w:r w:rsidR="003B32BE">
        <w:rPr>
          <w:lang w:eastAsia="zh-CN"/>
        </w:rPr>
        <w:t>1 discussed</w:t>
      </w:r>
      <w:r w:rsidR="003E5DE5">
        <w:rPr>
          <w:lang w:eastAsia="zh-CN"/>
        </w:rPr>
        <w:t xml:space="preserve"> </w:t>
      </w:r>
      <w:r w:rsidR="00BD7FD1">
        <w:rPr>
          <w:lang w:eastAsia="zh-CN"/>
        </w:rPr>
        <w:t>two</w:t>
      </w:r>
      <w:r w:rsidR="003E5DE5">
        <w:rPr>
          <w:lang w:eastAsia="zh-CN"/>
        </w:rPr>
        <w:t xml:space="preserve"> directions A) and B) for the functionality configuration in Step 3 as highlighted in yellow and green respectively:</w:t>
      </w:r>
    </w:p>
    <w:tbl>
      <w:tblPr>
        <w:tblStyle w:val="10"/>
        <w:tblW w:w="0" w:type="auto"/>
        <w:tblLook w:val="04A0" w:firstRow="1" w:lastRow="0" w:firstColumn="1" w:lastColumn="0" w:noHBand="0" w:noVBand="1"/>
      </w:tblPr>
      <w:tblGrid>
        <w:gridCol w:w="9307"/>
      </w:tblGrid>
      <w:tr w:rsidR="00EB42FD" w14:paraId="147720CA" w14:textId="77777777" w:rsidTr="00EB42FD">
        <w:tc>
          <w:tcPr>
            <w:tcW w:w="9307" w:type="dxa"/>
          </w:tcPr>
          <w:p w14:paraId="3931957D" w14:textId="77777777" w:rsidR="00EB42FD" w:rsidRDefault="00EB42FD" w:rsidP="004A4578">
            <w:pPr>
              <w:numPr>
                <w:ilvl w:val="0"/>
                <w:numId w:val="16"/>
              </w:numPr>
              <w:autoSpaceDE/>
              <w:autoSpaceDN/>
              <w:spacing w:after="0"/>
              <w:jc w:val="left"/>
              <w:rPr>
                <w:rFonts w:eastAsia="Times New Roman" w:cs="Times"/>
              </w:rPr>
            </w:pPr>
            <w:r>
              <w:rPr>
                <w:rFonts w:eastAsia="Times New Roman" w:cs="Times"/>
              </w:rPr>
              <w:t>In Step 3, following configurations are provided from NW to UE:</w:t>
            </w:r>
          </w:p>
          <w:p w14:paraId="3E40A76A" w14:textId="77777777" w:rsidR="00EB42FD" w:rsidRDefault="00EB42FD" w:rsidP="004A4578">
            <w:pPr>
              <w:numPr>
                <w:ilvl w:val="1"/>
                <w:numId w:val="16"/>
              </w:numPr>
              <w:autoSpaceDE/>
              <w:autoSpaceDN/>
              <w:spacing w:after="0"/>
              <w:jc w:val="left"/>
              <w:rPr>
                <w:rFonts w:eastAsia="Times New Roman" w:cs="Times"/>
              </w:rPr>
            </w:pPr>
            <w:r>
              <w:rPr>
                <w:rFonts w:eastAsia="Times New Roman" w:cs="Times"/>
              </w:rPr>
              <w:t>UE is allowed to do UAI reporting via </w:t>
            </w:r>
            <w:proofErr w:type="spellStart"/>
            <w:r>
              <w:rPr>
                <w:rFonts w:eastAsia="Times New Roman" w:cs="Times"/>
                <w:i/>
                <w:iCs/>
              </w:rPr>
              <w:t>OtherConfig</w:t>
            </w:r>
            <w:proofErr w:type="spellEnd"/>
            <w:r>
              <w:rPr>
                <w:rFonts w:eastAsia="Times New Roman" w:cs="Times"/>
                <w:i/>
                <w:iCs/>
              </w:rPr>
              <w:t>,</w:t>
            </w:r>
          </w:p>
          <w:p w14:paraId="51636087" w14:textId="77777777" w:rsidR="00EB42FD" w:rsidRDefault="00EB42FD" w:rsidP="004A4578">
            <w:pPr>
              <w:numPr>
                <w:ilvl w:val="1"/>
                <w:numId w:val="16"/>
              </w:numPr>
              <w:autoSpaceDE/>
              <w:autoSpaceDN/>
              <w:spacing w:after="0"/>
              <w:jc w:val="left"/>
              <w:rPr>
                <w:rFonts w:eastAsia="Times New Roman" w:cs="Times"/>
              </w:rPr>
            </w:pPr>
            <w:r>
              <w:rPr>
                <w:rFonts w:eastAsia="Times New Roman" w:cs="Times"/>
              </w:rPr>
              <w:t xml:space="preserve">The applicability report is based on A) </w:t>
            </w:r>
            <w:r w:rsidRPr="005436D9">
              <w:rPr>
                <w:rFonts w:eastAsia="Times New Roman" w:cs="Times"/>
                <w:highlight w:val="magenta"/>
              </w:rPr>
              <w:t>and/or</w:t>
            </w:r>
            <w:r>
              <w:rPr>
                <w:rFonts w:eastAsia="Times New Roman" w:cs="Times"/>
              </w:rPr>
              <w:t xml:space="preserve"> B) </w:t>
            </w:r>
          </w:p>
          <w:p w14:paraId="6C7AFEC5" w14:textId="77777777" w:rsidR="00EB42FD" w:rsidRDefault="00EB42FD" w:rsidP="004A4578">
            <w:pPr>
              <w:numPr>
                <w:ilvl w:val="2"/>
                <w:numId w:val="16"/>
              </w:numPr>
              <w:autoSpaceDE/>
              <w:autoSpaceDN/>
              <w:spacing w:after="0"/>
              <w:jc w:val="left"/>
              <w:rPr>
                <w:rFonts w:eastAsia="Times New Roman" w:cs="Times"/>
              </w:rPr>
            </w:pPr>
            <w:r>
              <w:rPr>
                <w:rFonts w:eastAsia="Times New Roman" w:cs="Times"/>
              </w:rPr>
              <w:t xml:space="preserve">It is up to RAN 2 to design the container </w:t>
            </w:r>
          </w:p>
          <w:p w14:paraId="458CC2B4" w14:textId="77777777" w:rsidR="00EB42FD" w:rsidRPr="005436D9" w:rsidRDefault="00EB42FD" w:rsidP="004A4578">
            <w:pPr>
              <w:numPr>
                <w:ilvl w:val="2"/>
                <w:numId w:val="16"/>
              </w:numPr>
              <w:autoSpaceDE/>
              <w:autoSpaceDN/>
              <w:spacing w:after="0"/>
              <w:jc w:val="left"/>
              <w:rPr>
                <w:rFonts w:eastAsia="Times New Roman" w:cs="Times"/>
                <w:highlight w:val="yellow"/>
              </w:rPr>
            </w:pPr>
            <w:r w:rsidRPr="005436D9">
              <w:rPr>
                <w:rFonts w:eastAsia="Times New Roman" w:cs="Times"/>
                <w:highlight w:val="yellow"/>
              </w:rPr>
              <w:t>A) one or more of </w:t>
            </w:r>
            <w:r w:rsidRPr="005436D9">
              <w:rPr>
                <w:rFonts w:eastAsia="Times New Roman" w:cs="Times"/>
                <w:i/>
                <w:iCs/>
                <w:highlight w:val="yellow"/>
              </w:rPr>
              <w:t>CSI-ReportConfig</w:t>
            </w:r>
            <w:r w:rsidRPr="005436D9">
              <w:rPr>
                <w:rFonts w:eastAsia="Times New Roman" w:cs="Times"/>
                <w:highlight w:val="yellow"/>
              </w:rPr>
              <w:t xml:space="preserve"> for inference configuration</w:t>
            </w:r>
            <w:r w:rsidRPr="005436D9">
              <w:rPr>
                <w:rFonts w:eastAsia="Times New Roman" w:cs="Times"/>
                <w:i/>
                <w:iCs/>
                <w:highlight w:val="yellow"/>
              </w:rPr>
              <w:t> </w:t>
            </w:r>
            <w:r w:rsidRPr="005436D9">
              <w:rPr>
                <w:rFonts w:eastAsia="Times New Roman" w:cs="Times"/>
                <w:highlight w:val="yellow"/>
              </w:rPr>
              <w:t>(wherein the associated ID may be configured in CSI framework as working assumption applied)</w:t>
            </w:r>
            <w:r w:rsidRPr="005436D9">
              <w:rPr>
                <w:rFonts w:eastAsia="Times New Roman" w:cs="Times"/>
                <w:i/>
                <w:iCs/>
                <w:highlight w:val="yellow"/>
              </w:rPr>
              <w:t xml:space="preserve"> </w:t>
            </w:r>
          </w:p>
          <w:p w14:paraId="44164609" w14:textId="77777777" w:rsidR="00EB42FD" w:rsidRPr="005436D9" w:rsidRDefault="00EB42FD" w:rsidP="004A4578">
            <w:pPr>
              <w:numPr>
                <w:ilvl w:val="3"/>
                <w:numId w:val="16"/>
              </w:numPr>
              <w:autoSpaceDE/>
              <w:autoSpaceDN/>
              <w:spacing w:after="0"/>
              <w:jc w:val="left"/>
              <w:rPr>
                <w:rFonts w:cs="Times"/>
                <w:highlight w:val="yellow"/>
                <w:lang w:eastAsia="de-DE"/>
              </w:rPr>
            </w:pPr>
            <w:r w:rsidRPr="005436D9">
              <w:rPr>
                <w:rFonts w:cs="Times"/>
                <w:highlight w:val="yellow"/>
              </w:rPr>
              <w:t xml:space="preserve">Note: </w:t>
            </w:r>
            <w:r w:rsidRPr="005436D9">
              <w:rPr>
                <w:rFonts w:cs="Times"/>
                <w:highlight w:val="yellow"/>
                <w:lang w:eastAsia="de-DE"/>
              </w:rPr>
              <w:t xml:space="preserve">CSI report </w:t>
            </w:r>
            <w:r w:rsidRPr="005436D9">
              <w:rPr>
                <w:rFonts w:cs="Times"/>
                <w:highlight w:val="yellow"/>
              </w:rPr>
              <w:t xml:space="preserve">configuration </w:t>
            </w:r>
            <w:r w:rsidRPr="005436D9">
              <w:rPr>
                <w:rFonts w:cs="Times"/>
                <w:highlight w:val="yellow"/>
                <w:lang w:eastAsia="de-DE"/>
              </w:rPr>
              <w:t>for UE-side model inference can</w:t>
            </w:r>
            <w:r w:rsidRPr="005436D9">
              <w:rPr>
                <w:rFonts w:cs="Times"/>
                <w:highlight w:val="yellow"/>
              </w:rPr>
              <w:t>’t</w:t>
            </w:r>
            <w:r w:rsidRPr="005436D9">
              <w:rPr>
                <w:rFonts w:cs="Times"/>
                <w:highlight w:val="yellow"/>
                <w:lang w:eastAsia="de-DE"/>
              </w:rPr>
              <w:t xml:space="preserve"> be activated immediately upon receiving Step 3</w:t>
            </w:r>
          </w:p>
          <w:p w14:paraId="2589AE86" w14:textId="77777777" w:rsidR="00EB42FD" w:rsidRPr="005436D9" w:rsidRDefault="00EB42FD" w:rsidP="004A4578">
            <w:pPr>
              <w:numPr>
                <w:ilvl w:val="2"/>
                <w:numId w:val="16"/>
              </w:numPr>
              <w:autoSpaceDE/>
              <w:autoSpaceDN/>
              <w:spacing w:after="0"/>
              <w:jc w:val="left"/>
              <w:rPr>
                <w:rFonts w:eastAsia="Times New Roman" w:cs="Times"/>
                <w:highlight w:val="green"/>
              </w:rPr>
            </w:pPr>
            <w:r w:rsidRPr="005436D9">
              <w:rPr>
                <w:rFonts w:eastAsia="Times New Roman" w:cs="Times"/>
                <w:highlight w:val="green"/>
              </w:rPr>
              <w:lastRenderedPageBreak/>
              <w:t>B) One set or multiple sets of inference related parameters for applicability report only (not for inference)</w:t>
            </w:r>
          </w:p>
          <w:p w14:paraId="2DF909B2" w14:textId="77777777" w:rsidR="00EB42FD" w:rsidRPr="005436D9" w:rsidRDefault="00EB42FD" w:rsidP="004A4578">
            <w:pPr>
              <w:numPr>
                <w:ilvl w:val="3"/>
                <w:numId w:val="16"/>
              </w:numPr>
              <w:autoSpaceDE/>
              <w:autoSpaceDN/>
              <w:spacing w:after="0"/>
              <w:jc w:val="left"/>
              <w:rPr>
                <w:rFonts w:eastAsia="Times New Roman" w:cs="Times"/>
                <w:highlight w:val="green"/>
              </w:rPr>
            </w:pPr>
            <w:r w:rsidRPr="005436D9">
              <w:rPr>
                <w:rFonts w:eastAsia="Times New Roman" w:cs="Times"/>
                <w:highlight w:val="green"/>
              </w:rPr>
              <w:t>It is up to RAN2 to design the container.</w:t>
            </w:r>
          </w:p>
          <w:p w14:paraId="45F5C249" w14:textId="77777777" w:rsidR="00EB42FD" w:rsidRPr="005436D9" w:rsidRDefault="00EB42FD" w:rsidP="004A4578">
            <w:pPr>
              <w:numPr>
                <w:ilvl w:val="3"/>
                <w:numId w:val="16"/>
              </w:numPr>
              <w:autoSpaceDE/>
              <w:autoSpaceDN/>
              <w:spacing w:after="0"/>
              <w:jc w:val="left"/>
              <w:rPr>
                <w:rFonts w:eastAsia="Times New Roman" w:cs="Times"/>
                <w:highlight w:val="green"/>
              </w:rPr>
            </w:pPr>
            <w:r w:rsidRPr="005436D9">
              <w:rPr>
                <w:rFonts w:eastAsia="Times New Roman" w:cs="Times"/>
                <w:highlight w:val="green"/>
              </w:rPr>
              <w:t xml:space="preserve">The set of inference related parameters selected from the IEs in/or the IEs referred by </w:t>
            </w:r>
            <w:r w:rsidRPr="005436D9">
              <w:rPr>
                <w:rFonts w:eastAsia="Times New Roman" w:cs="Times"/>
                <w:i/>
                <w:iCs/>
                <w:highlight w:val="green"/>
              </w:rPr>
              <w:t>CSI-ReportConfig</w:t>
            </w:r>
            <w:r w:rsidRPr="005436D9">
              <w:rPr>
                <w:rFonts w:eastAsia="Times New Roman" w:cs="Times"/>
                <w:highlight w:val="green"/>
              </w:rPr>
              <w:t xml:space="preserve"> as a starting point, e.g., </w:t>
            </w:r>
          </w:p>
          <w:p w14:paraId="002B5572" w14:textId="77777777" w:rsidR="00EB42FD" w:rsidRPr="005436D9" w:rsidRDefault="00EB42FD" w:rsidP="004A4578">
            <w:pPr>
              <w:numPr>
                <w:ilvl w:val="4"/>
                <w:numId w:val="16"/>
              </w:numPr>
              <w:autoSpaceDE/>
              <w:autoSpaceDN/>
              <w:spacing w:after="0"/>
              <w:jc w:val="left"/>
              <w:rPr>
                <w:rFonts w:eastAsia="Times New Roman" w:cs="Times"/>
                <w:highlight w:val="green"/>
              </w:rPr>
            </w:pPr>
            <w:r w:rsidRPr="005436D9">
              <w:rPr>
                <w:rFonts w:eastAsia="Times New Roman" w:cs="Times"/>
                <w:highlight w:val="green"/>
              </w:rPr>
              <w:t>the associated ID</w:t>
            </w:r>
          </w:p>
          <w:p w14:paraId="1979B19C" w14:textId="77777777" w:rsidR="00EB42FD" w:rsidRPr="005436D9" w:rsidRDefault="00EB42FD" w:rsidP="004A4578">
            <w:pPr>
              <w:numPr>
                <w:ilvl w:val="5"/>
                <w:numId w:val="16"/>
              </w:numPr>
              <w:autoSpaceDE/>
              <w:autoSpaceDN/>
              <w:spacing w:after="0"/>
              <w:jc w:val="left"/>
              <w:rPr>
                <w:rFonts w:eastAsia="Times New Roman" w:cs="Times"/>
                <w:highlight w:val="green"/>
              </w:rPr>
            </w:pPr>
            <w:r w:rsidRPr="005436D9">
              <w:rPr>
                <w:rFonts w:eastAsia="Times New Roman" w:cs="Times"/>
                <w:highlight w:val="green"/>
              </w:rPr>
              <w:t xml:space="preserve">Note: this doesn’t imply the associated ID is mandatory </w:t>
            </w:r>
          </w:p>
          <w:p w14:paraId="6C9F742E" w14:textId="77777777" w:rsidR="00EB42FD" w:rsidRPr="005436D9" w:rsidRDefault="00EB42FD" w:rsidP="004A4578">
            <w:pPr>
              <w:numPr>
                <w:ilvl w:val="4"/>
                <w:numId w:val="16"/>
              </w:numPr>
              <w:autoSpaceDE/>
              <w:autoSpaceDN/>
              <w:spacing w:after="0"/>
              <w:jc w:val="left"/>
              <w:rPr>
                <w:rFonts w:eastAsia="Times New Roman" w:cs="Times"/>
                <w:highlight w:val="green"/>
              </w:rPr>
            </w:pPr>
            <w:r w:rsidRPr="005436D9">
              <w:rPr>
                <w:rFonts w:eastAsia="Times New Roman" w:cs="Times"/>
                <w:highlight w:val="green"/>
              </w:rPr>
              <w:t>Set A related information</w:t>
            </w:r>
          </w:p>
          <w:p w14:paraId="3C38EDFF" w14:textId="77777777" w:rsidR="00EB42FD" w:rsidRPr="005436D9" w:rsidRDefault="00EB42FD" w:rsidP="004A4578">
            <w:pPr>
              <w:numPr>
                <w:ilvl w:val="4"/>
                <w:numId w:val="16"/>
              </w:numPr>
              <w:autoSpaceDE/>
              <w:autoSpaceDN/>
              <w:spacing w:after="0"/>
              <w:jc w:val="left"/>
              <w:rPr>
                <w:rFonts w:eastAsia="Times New Roman" w:cs="Times"/>
                <w:highlight w:val="green"/>
              </w:rPr>
            </w:pPr>
            <w:r w:rsidRPr="005436D9">
              <w:rPr>
                <w:rFonts w:eastAsia="Times New Roman" w:cs="Times"/>
                <w:highlight w:val="green"/>
              </w:rPr>
              <w:t>Set B related information</w:t>
            </w:r>
          </w:p>
          <w:p w14:paraId="6F0F213B" w14:textId="77777777" w:rsidR="00EB42FD" w:rsidRPr="005436D9" w:rsidRDefault="00EB42FD" w:rsidP="004A4578">
            <w:pPr>
              <w:numPr>
                <w:ilvl w:val="4"/>
                <w:numId w:val="16"/>
              </w:numPr>
              <w:autoSpaceDE/>
              <w:autoSpaceDN/>
              <w:spacing w:after="0"/>
              <w:jc w:val="left"/>
              <w:rPr>
                <w:rFonts w:eastAsia="Times New Roman" w:cs="Times"/>
                <w:highlight w:val="green"/>
              </w:rPr>
            </w:pPr>
            <w:r w:rsidRPr="005436D9">
              <w:rPr>
                <w:rFonts w:eastAsia="Times New Roman" w:cs="Times"/>
                <w:highlight w:val="green"/>
              </w:rPr>
              <w:t>Report content related information </w:t>
            </w:r>
          </w:p>
          <w:p w14:paraId="327ACD38" w14:textId="77777777" w:rsidR="00EB42FD" w:rsidRPr="005436D9" w:rsidRDefault="00EB42FD" w:rsidP="004A4578">
            <w:pPr>
              <w:numPr>
                <w:ilvl w:val="4"/>
                <w:numId w:val="16"/>
              </w:numPr>
              <w:autoSpaceDE/>
              <w:autoSpaceDN/>
              <w:spacing w:after="0"/>
              <w:jc w:val="left"/>
              <w:rPr>
                <w:rFonts w:eastAsia="Times New Roman" w:cs="Times"/>
                <w:highlight w:val="green"/>
              </w:rPr>
            </w:pPr>
            <w:r w:rsidRPr="005436D9">
              <w:rPr>
                <w:rFonts w:eastAsia="Times New Roman" w:cs="Times"/>
                <w:highlight w:val="green"/>
              </w:rPr>
              <w:t>For BM-Case 2, </w:t>
            </w:r>
          </w:p>
          <w:p w14:paraId="2C1FAFB1" w14:textId="77777777" w:rsidR="00EB42FD" w:rsidRPr="005436D9" w:rsidRDefault="00EB42FD" w:rsidP="004A4578">
            <w:pPr>
              <w:numPr>
                <w:ilvl w:val="5"/>
                <w:numId w:val="16"/>
              </w:numPr>
              <w:autoSpaceDE/>
              <w:autoSpaceDN/>
              <w:spacing w:after="0"/>
              <w:jc w:val="left"/>
              <w:rPr>
                <w:rFonts w:eastAsia="Times New Roman" w:cs="Times"/>
                <w:highlight w:val="green"/>
              </w:rPr>
            </w:pPr>
            <w:r w:rsidRPr="005436D9">
              <w:rPr>
                <w:rFonts w:eastAsia="Times New Roman" w:cs="Times"/>
                <w:highlight w:val="green"/>
              </w:rPr>
              <w:t>Time instances related information for measurements</w:t>
            </w:r>
          </w:p>
          <w:p w14:paraId="0D230B5A" w14:textId="0E7228F4" w:rsidR="00EB42FD" w:rsidRPr="00EB42FD" w:rsidRDefault="00EB42FD" w:rsidP="004A4578">
            <w:pPr>
              <w:numPr>
                <w:ilvl w:val="5"/>
                <w:numId w:val="16"/>
              </w:numPr>
              <w:autoSpaceDE/>
              <w:autoSpaceDN/>
              <w:spacing w:after="0"/>
              <w:jc w:val="left"/>
              <w:rPr>
                <w:rFonts w:eastAsia="Times New Roman" w:cs="Times"/>
              </w:rPr>
            </w:pPr>
            <w:r w:rsidRPr="005436D9">
              <w:rPr>
                <w:rFonts w:eastAsia="Times New Roman" w:cs="Times"/>
                <w:highlight w:val="green"/>
              </w:rPr>
              <w:t>Time instances related information for prediction</w:t>
            </w:r>
          </w:p>
        </w:tc>
      </w:tr>
    </w:tbl>
    <w:p w14:paraId="2A10C24D" w14:textId="6C1CA6EB" w:rsidR="003E5DE5" w:rsidRDefault="003E5DE5" w:rsidP="00EB42FD">
      <w:pPr>
        <w:rPr>
          <w:lang w:eastAsia="zh-CN"/>
        </w:rPr>
      </w:pPr>
      <w:r>
        <w:rPr>
          <w:lang w:eastAsia="zh-CN"/>
        </w:rPr>
        <w:lastRenderedPageBreak/>
        <w:t xml:space="preserve">It can also be observed from the above that both Direction A) and B) can be </w:t>
      </w:r>
      <w:r w:rsidR="00BD7FD1">
        <w:rPr>
          <w:lang w:eastAsia="zh-CN"/>
        </w:rPr>
        <w:t xml:space="preserve">used </w:t>
      </w:r>
      <w:r>
        <w:rPr>
          <w:lang w:eastAsia="zh-CN"/>
        </w:rPr>
        <w:t xml:space="preserve">on </w:t>
      </w:r>
      <w:r w:rsidR="00BD7FD1">
        <w:rPr>
          <w:lang w:eastAsia="zh-CN"/>
        </w:rPr>
        <w:t>their</w:t>
      </w:r>
      <w:r>
        <w:rPr>
          <w:lang w:eastAsia="zh-CN"/>
        </w:rPr>
        <w:t xml:space="preserve"> own to configure a functionality in Step 3, but it is also possible to apply both at the same time</w:t>
      </w:r>
      <w:r w:rsidR="002D4B68">
        <w:rPr>
          <w:lang w:eastAsia="zh-CN"/>
        </w:rPr>
        <w:t xml:space="preserve"> in Step 3</w:t>
      </w:r>
      <w:r>
        <w:rPr>
          <w:lang w:eastAsia="zh-CN"/>
        </w:rPr>
        <w:t xml:space="preserve"> (</w:t>
      </w:r>
      <w:r w:rsidR="002D4B68">
        <w:rPr>
          <w:lang w:eastAsia="zh-CN"/>
        </w:rPr>
        <w:t>e.g.</w:t>
      </w:r>
      <w:r>
        <w:rPr>
          <w:lang w:eastAsia="zh-CN"/>
        </w:rPr>
        <w:t xml:space="preserve"> </w:t>
      </w:r>
      <w:r w:rsidR="002D4B68" w:rsidRPr="002D4B68">
        <w:rPr>
          <w:lang w:eastAsia="zh-CN"/>
        </w:rPr>
        <w:t xml:space="preserve"> </w:t>
      </w:r>
      <w:r w:rsidR="002D4B68">
        <w:rPr>
          <w:lang w:eastAsia="zh-CN"/>
        </w:rPr>
        <w:t xml:space="preserve">a functionality is partially defined by Direction A and partially defined by Direction B, some functionalities in Direction A and some functionalities in Direction B, same functionality is defined in </w:t>
      </w:r>
      <w:r w:rsidR="006C6630">
        <w:rPr>
          <w:lang w:eastAsia="zh-CN"/>
        </w:rPr>
        <w:t xml:space="preserve">both </w:t>
      </w:r>
      <w:r w:rsidR="002D4B68">
        <w:rPr>
          <w:lang w:eastAsia="zh-CN"/>
        </w:rPr>
        <w:t>Direction A as well as Direction</w:t>
      </w:r>
      <w:r w:rsidR="00AD7C49">
        <w:rPr>
          <w:lang w:eastAsia="zh-CN"/>
        </w:rPr>
        <w:t xml:space="preserve"> </w:t>
      </w:r>
      <w:r w:rsidR="006C6630">
        <w:rPr>
          <w:lang w:eastAsia="zh-CN"/>
        </w:rPr>
        <w:t>B</w:t>
      </w:r>
      <w:r>
        <w:rPr>
          <w:lang w:eastAsia="zh-CN"/>
        </w:rPr>
        <w:t xml:space="preserve">).  </w:t>
      </w:r>
    </w:p>
    <w:p w14:paraId="67F2AA32" w14:textId="6309B307" w:rsidR="0018342E" w:rsidRPr="005436D9" w:rsidRDefault="0018342E" w:rsidP="005436D9">
      <w:pPr>
        <w:rPr>
          <w:rFonts w:eastAsia="Calibri"/>
          <w:b/>
          <w:bCs/>
        </w:rPr>
      </w:pPr>
      <w:r w:rsidRPr="005436D9">
        <w:rPr>
          <w:rFonts w:eastAsia="Calibri"/>
          <w:b/>
          <w:bCs/>
        </w:rPr>
        <w:t xml:space="preserve">Observation#1: Based on RAN1 </w:t>
      </w:r>
      <w:r w:rsidR="003E5DE5" w:rsidRPr="005436D9">
        <w:rPr>
          <w:rFonts w:eastAsia="Calibri"/>
          <w:b/>
          <w:bCs/>
        </w:rPr>
        <w:t>LS</w:t>
      </w:r>
      <w:r w:rsidRPr="005436D9">
        <w:rPr>
          <w:rFonts w:eastAsia="Calibri"/>
          <w:b/>
          <w:bCs/>
        </w:rPr>
        <w:t xml:space="preserve">, </w:t>
      </w:r>
      <w:r w:rsidR="003E5DE5" w:rsidRPr="005436D9">
        <w:rPr>
          <w:rFonts w:eastAsia="Calibri"/>
          <w:b/>
          <w:bCs/>
        </w:rPr>
        <w:t>the functionalities can be configured/signalled in the following</w:t>
      </w:r>
      <w:r w:rsidRPr="005436D9">
        <w:rPr>
          <w:rFonts w:eastAsia="Calibri"/>
          <w:b/>
          <w:bCs/>
        </w:rPr>
        <w:t xml:space="preserve"> options</w:t>
      </w:r>
      <w:r w:rsidR="00F572DD" w:rsidRPr="005436D9">
        <w:rPr>
          <w:rFonts w:eastAsia="Calibri"/>
          <w:b/>
          <w:bCs/>
        </w:rPr>
        <w:t xml:space="preserve"> in Step 3</w:t>
      </w:r>
      <w:r w:rsidR="003E5DE5" w:rsidRPr="005436D9">
        <w:rPr>
          <w:rFonts w:eastAsia="Calibri"/>
          <w:b/>
          <w:bCs/>
        </w:rPr>
        <w:t>:</w:t>
      </w:r>
    </w:p>
    <w:p w14:paraId="249753F9" w14:textId="7CAB253F" w:rsidR="0018342E" w:rsidRPr="005436D9" w:rsidRDefault="0018342E" w:rsidP="005436D9">
      <w:pPr>
        <w:rPr>
          <w:rFonts w:eastAsia="Calibri"/>
          <w:b/>
          <w:bCs/>
        </w:rPr>
      </w:pPr>
      <w:r w:rsidRPr="005436D9">
        <w:rPr>
          <w:rFonts w:eastAsia="Calibri"/>
          <w:b/>
          <w:bCs/>
        </w:rPr>
        <w:t xml:space="preserve">Option 1: </w:t>
      </w:r>
      <w:r w:rsidR="00F572DD" w:rsidRPr="005436D9">
        <w:rPr>
          <w:rFonts w:eastAsia="Calibri"/>
          <w:b/>
          <w:bCs/>
        </w:rPr>
        <w:t>Only Direction</w:t>
      </w:r>
      <w:r w:rsidRPr="005436D9">
        <w:rPr>
          <w:rFonts w:eastAsia="Calibri"/>
          <w:b/>
          <w:bCs/>
        </w:rPr>
        <w:t xml:space="preserve"> A)</w:t>
      </w:r>
    </w:p>
    <w:p w14:paraId="5C7D4C46" w14:textId="12A956DE" w:rsidR="0018342E" w:rsidRPr="005436D9" w:rsidRDefault="0018342E" w:rsidP="005436D9">
      <w:pPr>
        <w:rPr>
          <w:rFonts w:eastAsia="Calibri"/>
          <w:b/>
          <w:bCs/>
        </w:rPr>
      </w:pPr>
      <w:r w:rsidRPr="005436D9">
        <w:rPr>
          <w:rFonts w:eastAsia="Calibri"/>
          <w:b/>
          <w:bCs/>
        </w:rPr>
        <w:t xml:space="preserve">Option 2: </w:t>
      </w:r>
      <w:r w:rsidR="00F572DD" w:rsidRPr="005436D9">
        <w:rPr>
          <w:rFonts w:eastAsia="Calibri"/>
          <w:b/>
          <w:bCs/>
        </w:rPr>
        <w:t>Only</w:t>
      </w:r>
      <w:r w:rsidRPr="005436D9">
        <w:rPr>
          <w:rFonts w:eastAsia="Calibri"/>
          <w:b/>
          <w:bCs/>
        </w:rPr>
        <w:t xml:space="preserve"> </w:t>
      </w:r>
      <w:r w:rsidR="00F572DD" w:rsidRPr="005436D9">
        <w:rPr>
          <w:rFonts w:eastAsia="Calibri"/>
          <w:b/>
          <w:bCs/>
        </w:rPr>
        <w:t xml:space="preserve">Direction </w:t>
      </w:r>
      <w:r w:rsidRPr="005436D9">
        <w:rPr>
          <w:rFonts w:eastAsia="Calibri"/>
          <w:b/>
          <w:bCs/>
        </w:rPr>
        <w:t>B)</w:t>
      </w:r>
    </w:p>
    <w:p w14:paraId="4DE40AF2" w14:textId="5F17EF10" w:rsidR="0018342E" w:rsidRPr="005436D9" w:rsidRDefault="0018342E" w:rsidP="005436D9">
      <w:pPr>
        <w:rPr>
          <w:rFonts w:eastAsia="Calibri"/>
          <w:b/>
          <w:bCs/>
        </w:rPr>
      </w:pPr>
      <w:r w:rsidRPr="005436D9">
        <w:rPr>
          <w:rFonts w:eastAsia="Calibri"/>
          <w:b/>
          <w:bCs/>
        </w:rPr>
        <w:t xml:space="preserve">Option 3: Mix of </w:t>
      </w:r>
      <w:r w:rsidR="00F572DD" w:rsidRPr="005436D9">
        <w:rPr>
          <w:rFonts w:eastAsia="Calibri"/>
          <w:b/>
          <w:bCs/>
        </w:rPr>
        <w:t>Direction</w:t>
      </w:r>
      <w:r w:rsidRPr="005436D9">
        <w:rPr>
          <w:rFonts w:eastAsia="Calibri"/>
          <w:b/>
          <w:bCs/>
        </w:rPr>
        <w:t xml:space="preserve"> </w:t>
      </w:r>
      <w:r w:rsidR="00F572DD" w:rsidRPr="005436D9">
        <w:rPr>
          <w:rFonts w:eastAsia="Calibri"/>
          <w:b/>
          <w:bCs/>
        </w:rPr>
        <w:t>A</w:t>
      </w:r>
      <w:r w:rsidRPr="005436D9">
        <w:rPr>
          <w:rFonts w:eastAsia="Calibri"/>
          <w:b/>
          <w:bCs/>
        </w:rPr>
        <w:t xml:space="preserve"> and </w:t>
      </w:r>
      <w:proofErr w:type="gramStart"/>
      <w:r w:rsidR="00F572DD" w:rsidRPr="005436D9">
        <w:rPr>
          <w:rFonts w:eastAsia="Calibri"/>
          <w:b/>
          <w:bCs/>
        </w:rPr>
        <w:t>B</w:t>
      </w:r>
      <w:r w:rsidR="002D4B68" w:rsidRPr="005436D9">
        <w:rPr>
          <w:rFonts w:eastAsia="Calibri"/>
          <w:b/>
          <w:bCs/>
        </w:rPr>
        <w:t>(</w:t>
      </w:r>
      <w:proofErr w:type="gramEnd"/>
      <w:r w:rsidR="002D4B68" w:rsidRPr="005436D9">
        <w:rPr>
          <w:rFonts w:eastAsia="Calibri"/>
          <w:b/>
          <w:bCs/>
        </w:rPr>
        <w:t xml:space="preserve">e.g. a functionality is partially defined by Direction A and partially defined by Direction B, some functionalities in Direction A and some functionalities in Direction B or even the same functionality is defined in </w:t>
      </w:r>
      <w:r w:rsidR="006C6630">
        <w:rPr>
          <w:rFonts w:eastAsia="Calibri"/>
          <w:b/>
          <w:bCs/>
        </w:rPr>
        <w:t xml:space="preserve">both </w:t>
      </w:r>
      <w:r w:rsidR="002D4B68" w:rsidRPr="005436D9">
        <w:rPr>
          <w:rFonts w:eastAsia="Calibri"/>
          <w:b/>
          <w:bCs/>
        </w:rPr>
        <w:t>Direction A as well as Direction</w:t>
      </w:r>
      <w:r w:rsidR="006C6630">
        <w:rPr>
          <w:rFonts w:eastAsia="Calibri"/>
          <w:b/>
          <w:bCs/>
        </w:rPr>
        <w:t xml:space="preserve"> B</w:t>
      </w:r>
      <w:r w:rsidR="002D4B68" w:rsidRPr="005436D9">
        <w:rPr>
          <w:rFonts w:eastAsia="Calibri"/>
          <w:b/>
          <w:bCs/>
        </w:rPr>
        <w:t>)</w:t>
      </w:r>
    </w:p>
    <w:p w14:paraId="3A47933D" w14:textId="3BD27680" w:rsidR="003E5DE5" w:rsidRDefault="003E5DE5" w:rsidP="002D4B68">
      <w:pPr>
        <w:rPr>
          <w:lang w:eastAsia="zh-CN"/>
        </w:rPr>
      </w:pPr>
      <w:r>
        <w:rPr>
          <w:lang w:eastAsia="zh-CN"/>
        </w:rPr>
        <w:t>RAN2 is tasked to decide on where to include the functionality configuration for Direction A) and/or B) in the RRC message. Since the detailed information is yet to be discussed in RAN1, the best RAN2 can do is to design based on the what we know so far</w:t>
      </w:r>
      <w:r w:rsidR="00F572DD">
        <w:rPr>
          <w:lang w:eastAsia="zh-CN"/>
        </w:rPr>
        <w:t xml:space="preserve"> from the RAN1 LS</w:t>
      </w:r>
      <w:r>
        <w:rPr>
          <w:lang w:eastAsia="zh-CN"/>
        </w:rPr>
        <w:t xml:space="preserve">. </w:t>
      </w:r>
    </w:p>
    <w:p w14:paraId="4BF5577E" w14:textId="31719F84" w:rsidR="004E3F15" w:rsidRDefault="003E5DE5" w:rsidP="00374D22">
      <w:pPr>
        <w:pStyle w:val="Doc-text2"/>
        <w:ind w:left="0" w:firstLine="0"/>
        <w:jc w:val="both"/>
        <w:rPr>
          <w:rFonts w:eastAsiaTheme="minorEastAsia"/>
          <w:lang w:val="en-US" w:eastAsia="zh-CN"/>
        </w:rPr>
      </w:pPr>
      <w:r w:rsidRPr="0035202E">
        <w:rPr>
          <w:rFonts w:ascii="Times New Roman" w:hAnsi="Times New Roman"/>
          <w:sz w:val="22"/>
          <w:szCs w:val="22"/>
          <w:lang w:eastAsia="zh-CN"/>
        </w:rPr>
        <w:t xml:space="preserve">For Option 1 (Direction A only), the </w:t>
      </w:r>
      <w:proofErr w:type="spellStart"/>
      <w:r w:rsidRPr="0035202E">
        <w:rPr>
          <w:rFonts w:ascii="Times New Roman" w:hAnsi="Times New Roman"/>
          <w:sz w:val="22"/>
          <w:szCs w:val="22"/>
          <w:lang w:eastAsia="zh-CN"/>
        </w:rPr>
        <w:t>gNB</w:t>
      </w:r>
      <w:proofErr w:type="spellEnd"/>
      <w:r w:rsidR="004E3F15" w:rsidRPr="004E3F15">
        <w:rPr>
          <w:rFonts w:ascii="Times New Roman" w:eastAsia="Calibri" w:hAnsi="Times New Roman"/>
          <w:sz w:val="22"/>
          <w:szCs w:val="22"/>
          <w:lang w:val="en-US" w:eastAsia="en-US"/>
        </w:rPr>
        <w:t xml:space="preserve"> provide</w:t>
      </w:r>
      <w:r>
        <w:rPr>
          <w:rFonts w:ascii="Times New Roman" w:eastAsia="Calibri" w:hAnsi="Times New Roman"/>
          <w:sz w:val="22"/>
          <w:szCs w:val="22"/>
          <w:lang w:val="en-US" w:eastAsia="en-US"/>
        </w:rPr>
        <w:t>s</w:t>
      </w:r>
      <w:r w:rsidR="004E3F15" w:rsidRPr="004E3F15">
        <w:rPr>
          <w:rFonts w:ascii="Times New Roman" w:eastAsia="Calibri" w:hAnsi="Times New Roman"/>
          <w:sz w:val="22"/>
          <w:szCs w:val="22"/>
          <w:lang w:val="en-US" w:eastAsia="en-US"/>
        </w:rPr>
        <w:t xml:space="preserve"> one or more of </w:t>
      </w:r>
      <w:r w:rsidR="004E3F15" w:rsidRPr="0018342E">
        <w:rPr>
          <w:rFonts w:ascii="Times New Roman" w:eastAsia="Calibri" w:hAnsi="Times New Roman"/>
          <w:i/>
          <w:iCs/>
          <w:sz w:val="22"/>
          <w:szCs w:val="22"/>
          <w:lang w:val="en-US" w:eastAsia="en-US"/>
        </w:rPr>
        <w:t>CSI-</w:t>
      </w:r>
      <w:proofErr w:type="spellStart"/>
      <w:r w:rsidR="004E3F15" w:rsidRPr="0018342E">
        <w:rPr>
          <w:rFonts w:ascii="Times New Roman" w:eastAsia="Calibri" w:hAnsi="Times New Roman"/>
          <w:i/>
          <w:iCs/>
          <w:sz w:val="22"/>
          <w:szCs w:val="22"/>
          <w:lang w:val="en-US" w:eastAsia="en-US"/>
        </w:rPr>
        <w:t>ReportConfig</w:t>
      </w:r>
      <w:proofErr w:type="spellEnd"/>
      <w:r w:rsidR="0018342E">
        <w:rPr>
          <w:rFonts w:ascii="Times New Roman" w:eastAsia="Calibri" w:hAnsi="Times New Roman"/>
          <w:sz w:val="22"/>
          <w:szCs w:val="22"/>
          <w:lang w:val="en-US" w:eastAsia="en-US"/>
        </w:rPr>
        <w:t xml:space="preserve"> </w:t>
      </w:r>
      <w:r w:rsidR="00374D22">
        <w:rPr>
          <w:rFonts w:ascii="Times New Roman" w:eastAsia="Calibri" w:hAnsi="Times New Roman"/>
          <w:sz w:val="22"/>
          <w:szCs w:val="22"/>
          <w:lang w:val="en-US" w:eastAsia="en-US"/>
        </w:rPr>
        <w:t xml:space="preserve">for inference operation to the UE in Step 3.  Since it is for inference operation, the functionality </w:t>
      </w:r>
      <w:r w:rsidR="004E3F15" w:rsidRPr="004E3F15">
        <w:rPr>
          <w:rFonts w:ascii="Times New Roman" w:eastAsia="Calibri" w:hAnsi="Times New Roman"/>
          <w:sz w:val="22"/>
          <w:szCs w:val="22"/>
          <w:lang w:val="en-US" w:eastAsia="en-US"/>
        </w:rPr>
        <w:t>configuration</w:t>
      </w:r>
      <w:r w:rsidR="00374D22">
        <w:rPr>
          <w:rFonts w:ascii="Times New Roman" w:eastAsia="Calibri" w:hAnsi="Times New Roman"/>
          <w:sz w:val="22"/>
          <w:szCs w:val="22"/>
          <w:lang w:val="en-US" w:eastAsia="en-US"/>
        </w:rPr>
        <w:t xml:space="preserve"> (i.e. Set A and B signaled by one or more of </w:t>
      </w:r>
      <w:r w:rsidR="00374D22" w:rsidRPr="00374D22">
        <w:rPr>
          <w:rFonts w:ascii="Times New Roman" w:eastAsia="Calibri" w:hAnsi="Times New Roman"/>
          <w:i/>
          <w:sz w:val="22"/>
          <w:szCs w:val="22"/>
          <w:lang w:val="en-US" w:eastAsia="en-US"/>
        </w:rPr>
        <w:t>CSI-ReportConfig</w:t>
      </w:r>
      <w:r w:rsidR="00374D22">
        <w:rPr>
          <w:rFonts w:ascii="Times New Roman" w:eastAsia="Calibri" w:hAnsi="Times New Roman"/>
          <w:sz w:val="22"/>
          <w:szCs w:val="22"/>
          <w:lang w:val="en-US" w:eastAsia="en-US"/>
        </w:rPr>
        <w:t xml:space="preserve">) </w:t>
      </w:r>
      <w:r w:rsidR="004E3F15" w:rsidRPr="004E3F15">
        <w:rPr>
          <w:rFonts w:ascii="Times New Roman" w:eastAsia="Calibri" w:hAnsi="Times New Roman"/>
          <w:sz w:val="22"/>
          <w:szCs w:val="22"/>
          <w:lang w:val="en-US" w:eastAsia="en-US"/>
        </w:rPr>
        <w:t>are automatically available for inference, if UE report</w:t>
      </w:r>
      <w:r w:rsidR="00685B88">
        <w:rPr>
          <w:rFonts w:ascii="Times New Roman" w:eastAsia="Calibri" w:hAnsi="Times New Roman"/>
          <w:sz w:val="22"/>
          <w:szCs w:val="22"/>
          <w:lang w:val="en-US" w:eastAsia="en-US"/>
        </w:rPr>
        <w:t>s</w:t>
      </w:r>
      <w:r w:rsidR="004E3F15" w:rsidRPr="004E3F15">
        <w:rPr>
          <w:rFonts w:ascii="Times New Roman" w:eastAsia="Calibri" w:hAnsi="Times New Roman"/>
          <w:sz w:val="22"/>
          <w:szCs w:val="22"/>
          <w:lang w:val="en-US" w:eastAsia="en-US"/>
        </w:rPr>
        <w:t xml:space="preserve"> </w:t>
      </w:r>
      <w:r w:rsidR="00374D22">
        <w:rPr>
          <w:rFonts w:ascii="Times New Roman" w:eastAsia="Calibri" w:hAnsi="Times New Roman"/>
          <w:sz w:val="22"/>
          <w:szCs w:val="22"/>
          <w:lang w:val="en-US" w:eastAsia="en-US"/>
        </w:rPr>
        <w:t>the functionality configuration</w:t>
      </w:r>
      <w:r w:rsidR="004E3F15" w:rsidRPr="004E3F15">
        <w:rPr>
          <w:rFonts w:ascii="Times New Roman" w:eastAsia="Calibri" w:hAnsi="Times New Roman"/>
          <w:sz w:val="22"/>
          <w:szCs w:val="22"/>
          <w:lang w:val="en-US" w:eastAsia="en-US"/>
        </w:rPr>
        <w:t xml:space="preserve"> as applicab</w:t>
      </w:r>
      <w:r w:rsidR="00F572DD">
        <w:rPr>
          <w:rFonts w:ascii="Times New Roman" w:eastAsia="Calibri" w:hAnsi="Times New Roman"/>
          <w:sz w:val="22"/>
          <w:szCs w:val="22"/>
          <w:lang w:val="en-US" w:eastAsia="en-US"/>
        </w:rPr>
        <w:t>le in either the UAI or RRC Reconfiguration Complete</w:t>
      </w:r>
      <w:r w:rsidR="00374D22">
        <w:rPr>
          <w:rFonts w:ascii="Times New Roman" w:eastAsia="Calibri" w:hAnsi="Times New Roman"/>
          <w:sz w:val="22"/>
          <w:szCs w:val="22"/>
          <w:lang w:val="en-US" w:eastAsia="en-US"/>
        </w:rPr>
        <w:t xml:space="preserve"> (</w:t>
      </w:r>
      <w:r w:rsidR="00374D22" w:rsidRPr="00374D22">
        <w:rPr>
          <w:rFonts w:ascii="Times New Roman" w:eastAsia="Calibri" w:hAnsi="Times New Roman"/>
          <w:sz w:val="22"/>
          <w:szCs w:val="22"/>
          <w:lang w:val="en-US" w:eastAsia="en-US"/>
        </w:rPr>
        <w:t>i.e. periodic CSI reports are automatically activated and SP and aperiodic can be activate</w:t>
      </w:r>
      <w:r w:rsidR="00685B88">
        <w:rPr>
          <w:rFonts w:ascii="Times New Roman" w:eastAsia="Calibri" w:hAnsi="Times New Roman"/>
          <w:sz w:val="22"/>
          <w:szCs w:val="22"/>
          <w:lang w:val="en-US" w:eastAsia="en-US"/>
        </w:rPr>
        <w:t>d</w:t>
      </w:r>
      <w:r w:rsidR="00374D22" w:rsidRPr="00374D22">
        <w:rPr>
          <w:rFonts w:ascii="Times New Roman" w:eastAsia="Calibri" w:hAnsi="Times New Roman"/>
          <w:sz w:val="22"/>
          <w:szCs w:val="22"/>
          <w:lang w:val="en-US" w:eastAsia="en-US"/>
        </w:rPr>
        <w:t xml:space="preserve"> with L1/L2 </w:t>
      </w:r>
      <w:proofErr w:type="spellStart"/>
      <w:r w:rsidR="00374D22" w:rsidRPr="00374D22">
        <w:rPr>
          <w:rFonts w:ascii="Times New Roman" w:eastAsia="Calibri" w:hAnsi="Times New Roman"/>
          <w:sz w:val="22"/>
          <w:szCs w:val="22"/>
          <w:lang w:val="en-US" w:eastAsia="en-US"/>
        </w:rPr>
        <w:t>signalling</w:t>
      </w:r>
      <w:proofErr w:type="spellEnd"/>
      <w:r w:rsidR="00374D22" w:rsidRPr="00374D22">
        <w:rPr>
          <w:rFonts w:ascii="Times New Roman" w:eastAsia="Calibri" w:hAnsi="Times New Roman"/>
          <w:sz w:val="22"/>
          <w:szCs w:val="22"/>
          <w:lang w:val="en-US" w:eastAsia="en-US"/>
        </w:rPr>
        <w:t xml:space="preserve"> by the network</w:t>
      </w:r>
      <w:r w:rsidR="00374D22">
        <w:rPr>
          <w:rFonts w:ascii="Times New Roman" w:eastAsia="Calibri" w:hAnsi="Times New Roman"/>
          <w:sz w:val="22"/>
          <w:szCs w:val="22"/>
          <w:lang w:val="en-US" w:eastAsia="en-US"/>
        </w:rPr>
        <w:t>)</w:t>
      </w:r>
      <w:r w:rsidR="004E3F15" w:rsidRPr="004E3F15">
        <w:rPr>
          <w:rFonts w:ascii="Times New Roman" w:eastAsia="Calibri" w:hAnsi="Times New Roman"/>
          <w:sz w:val="22"/>
          <w:szCs w:val="22"/>
          <w:lang w:val="en-US" w:eastAsia="en-US"/>
        </w:rPr>
        <w:t xml:space="preserve">. </w:t>
      </w:r>
      <w:r w:rsidR="00374D22">
        <w:rPr>
          <w:rFonts w:ascii="Times New Roman" w:eastAsia="Calibri" w:hAnsi="Times New Roman"/>
          <w:sz w:val="22"/>
          <w:szCs w:val="22"/>
          <w:lang w:val="en-US" w:eastAsia="en-US"/>
        </w:rPr>
        <w:t>From this</w:t>
      </w:r>
      <w:r w:rsidR="004E3F15" w:rsidRPr="004E3F15">
        <w:rPr>
          <w:rFonts w:ascii="Times New Roman" w:eastAsia="Calibri" w:hAnsi="Times New Roman"/>
          <w:sz w:val="22"/>
          <w:szCs w:val="22"/>
          <w:lang w:val="en-US" w:eastAsia="en-US"/>
        </w:rPr>
        <w:t xml:space="preserve">, </w:t>
      </w:r>
      <w:r w:rsidR="00374D22">
        <w:rPr>
          <w:rFonts w:ascii="Times New Roman" w:eastAsia="Calibri" w:hAnsi="Times New Roman"/>
          <w:sz w:val="22"/>
          <w:szCs w:val="22"/>
          <w:lang w:val="en-US" w:eastAsia="en-US"/>
        </w:rPr>
        <w:t>Direction</w:t>
      </w:r>
      <w:r w:rsidR="004E3F15" w:rsidRPr="004E3F15">
        <w:rPr>
          <w:rFonts w:ascii="Times New Roman" w:eastAsia="Calibri" w:hAnsi="Times New Roman"/>
          <w:sz w:val="22"/>
          <w:szCs w:val="22"/>
          <w:lang w:val="en-US" w:eastAsia="en-US"/>
        </w:rPr>
        <w:t xml:space="preserve"> A) should be part of the </w:t>
      </w:r>
      <w:r w:rsidR="00374D22">
        <w:rPr>
          <w:rFonts w:ascii="Times New Roman" w:eastAsia="Calibri" w:hAnsi="Times New Roman"/>
          <w:sz w:val="22"/>
          <w:szCs w:val="22"/>
          <w:lang w:val="en-US" w:eastAsia="en-US"/>
        </w:rPr>
        <w:t>existing</w:t>
      </w:r>
      <w:r w:rsidR="004E3F15" w:rsidRPr="004E3F15">
        <w:rPr>
          <w:rFonts w:ascii="Times New Roman" w:eastAsia="Calibri" w:hAnsi="Times New Roman"/>
          <w:sz w:val="22"/>
          <w:szCs w:val="22"/>
          <w:lang w:val="en-US" w:eastAsia="en-US"/>
        </w:rPr>
        <w:t xml:space="preserve"> CSI</w:t>
      </w:r>
      <w:r w:rsidR="00374D22">
        <w:rPr>
          <w:rFonts w:ascii="Times New Roman" w:eastAsia="Calibri" w:hAnsi="Times New Roman"/>
          <w:sz w:val="22"/>
          <w:szCs w:val="22"/>
          <w:lang w:val="en-US" w:eastAsia="en-US"/>
        </w:rPr>
        <w:t xml:space="preserve"> reporting </w:t>
      </w:r>
      <w:r w:rsidR="004E3F15" w:rsidRPr="004E3F15">
        <w:rPr>
          <w:rFonts w:ascii="Times New Roman" w:eastAsia="Calibri" w:hAnsi="Times New Roman"/>
          <w:sz w:val="22"/>
          <w:szCs w:val="22"/>
          <w:lang w:val="en-US" w:eastAsia="en-US"/>
        </w:rPr>
        <w:t>framework</w:t>
      </w:r>
      <w:r w:rsidR="00374D22">
        <w:rPr>
          <w:rFonts w:ascii="Times New Roman" w:eastAsia="Calibri" w:hAnsi="Times New Roman"/>
          <w:sz w:val="22"/>
          <w:szCs w:val="22"/>
          <w:lang w:val="en-US" w:eastAsia="en-US"/>
        </w:rPr>
        <w:t>/configuration</w:t>
      </w:r>
      <w:r w:rsidR="004E3F15" w:rsidRPr="004E3F15">
        <w:rPr>
          <w:rFonts w:ascii="Times New Roman" w:eastAsia="Calibri" w:hAnsi="Times New Roman"/>
          <w:sz w:val="22"/>
          <w:szCs w:val="22"/>
          <w:lang w:val="en-US" w:eastAsia="en-US"/>
        </w:rPr>
        <w:t>, w</w:t>
      </w:r>
      <w:r w:rsidR="00374D22">
        <w:rPr>
          <w:rFonts w:ascii="Times New Roman" w:eastAsia="Calibri" w:hAnsi="Times New Roman"/>
          <w:sz w:val="22"/>
          <w:szCs w:val="22"/>
          <w:lang w:val="en-US" w:eastAsia="en-US"/>
        </w:rPr>
        <w:t>h</w:t>
      </w:r>
      <w:r w:rsidR="004E3F15" w:rsidRPr="004E3F15">
        <w:rPr>
          <w:rFonts w:ascii="Times New Roman" w:eastAsia="Calibri" w:hAnsi="Times New Roman"/>
          <w:sz w:val="22"/>
          <w:szCs w:val="22"/>
          <w:lang w:val="en-US" w:eastAsia="en-US"/>
        </w:rPr>
        <w:t>ich</w:t>
      </w:r>
      <w:r w:rsidR="00374D22">
        <w:rPr>
          <w:rFonts w:ascii="Times New Roman" w:eastAsia="Calibri" w:hAnsi="Times New Roman"/>
          <w:sz w:val="22"/>
          <w:szCs w:val="22"/>
          <w:lang w:val="en-US" w:eastAsia="en-US"/>
        </w:rPr>
        <w:t xml:space="preserve"> is</w:t>
      </w:r>
      <w:r w:rsidR="004E3F15" w:rsidRPr="004E3F15">
        <w:rPr>
          <w:rFonts w:ascii="Times New Roman" w:eastAsia="Calibri" w:hAnsi="Times New Roman"/>
          <w:sz w:val="22"/>
          <w:szCs w:val="22"/>
          <w:lang w:val="en-US" w:eastAsia="en-US"/>
        </w:rPr>
        <w:t xml:space="preserve"> in </w:t>
      </w:r>
      <w:r w:rsidR="004E3F15" w:rsidRPr="0018342E">
        <w:rPr>
          <w:rFonts w:ascii="Times New Roman" w:eastAsia="Calibri" w:hAnsi="Times New Roman"/>
          <w:i/>
          <w:iCs/>
          <w:sz w:val="22"/>
          <w:szCs w:val="22"/>
          <w:lang w:val="en-US" w:eastAsia="en-US"/>
        </w:rPr>
        <w:t>CSI-</w:t>
      </w:r>
      <w:proofErr w:type="spellStart"/>
      <w:r w:rsidR="004E3F15" w:rsidRPr="0018342E">
        <w:rPr>
          <w:rFonts w:ascii="Times New Roman" w:eastAsia="Calibri" w:hAnsi="Times New Roman"/>
          <w:i/>
          <w:iCs/>
          <w:sz w:val="22"/>
          <w:szCs w:val="22"/>
          <w:lang w:val="en-US" w:eastAsia="en-US"/>
        </w:rPr>
        <w:t>MeasConfig</w:t>
      </w:r>
      <w:proofErr w:type="spellEnd"/>
      <w:r w:rsidR="00374D22">
        <w:rPr>
          <w:rFonts w:ascii="Times New Roman" w:eastAsia="Calibri" w:hAnsi="Times New Roman"/>
          <w:iCs/>
          <w:sz w:val="22"/>
          <w:szCs w:val="22"/>
          <w:lang w:val="en-US" w:eastAsia="en-US"/>
        </w:rPr>
        <w:t xml:space="preserve"> where the </w:t>
      </w:r>
      <w:r w:rsidR="00374D22" w:rsidRPr="00E93869">
        <w:rPr>
          <w:rFonts w:ascii="Times New Roman" w:eastAsia="Calibri" w:hAnsi="Times New Roman"/>
          <w:i/>
          <w:iCs/>
          <w:sz w:val="22"/>
          <w:szCs w:val="22"/>
          <w:lang w:val="en-US" w:eastAsia="en-US"/>
        </w:rPr>
        <w:t>CSI-</w:t>
      </w:r>
      <w:proofErr w:type="spellStart"/>
      <w:r w:rsidR="00374D22" w:rsidRPr="00E93869">
        <w:rPr>
          <w:rFonts w:ascii="Times New Roman" w:eastAsia="Calibri" w:hAnsi="Times New Roman"/>
          <w:i/>
          <w:iCs/>
          <w:sz w:val="22"/>
          <w:szCs w:val="22"/>
          <w:lang w:val="en-US" w:eastAsia="en-US"/>
        </w:rPr>
        <w:t>ReportConfig</w:t>
      </w:r>
      <w:proofErr w:type="spellEnd"/>
      <w:r w:rsidR="00374D22">
        <w:rPr>
          <w:rFonts w:ascii="Times New Roman" w:eastAsia="Calibri" w:hAnsi="Times New Roman"/>
          <w:iCs/>
          <w:sz w:val="22"/>
          <w:szCs w:val="22"/>
          <w:lang w:val="en-US" w:eastAsia="en-US"/>
        </w:rPr>
        <w:t xml:space="preserve"> are included</w:t>
      </w:r>
      <w:r w:rsidR="004E3F15" w:rsidRPr="004E3F15">
        <w:rPr>
          <w:rFonts w:ascii="Times New Roman" w:eastAsia="Calibri" w:hAnsi="Times New Roman"/>
          <w:sz w:val="22"/>
          <w:szCs w:val="22"/>
          <w:lang w:val="en-US" w:eastAsia="en-US"/>
        </w:rPr>
        <w:t xml:space="preserve">. </w:t>
      </w:r>
      <w:r w:rsidR="00E93869">
        <w:rPr>
          <w:rFonts w:ascii="Times New Roman" w:eastAsia="Calibri" w:hAnsi="Times New Roman"/>
          <w:sz w:val="22"/>
          <w:szCs w:val="22"/>
          <w:lang w:val="en-US" w:eastAsia="en-US"/>
        </w:rPr>
        <w:t>Further changes to</w:t>
      </w:r>
      <w:r w:rsidR="004E3F15" w:rsidRPr="004E3F15">
        <w:rPr>
          <w:rFonts w:ascii="Times New Roman" w:eastAsia="Calibri" w:hAnsi="Times New Roman"/>
          <w:sz w:val="22"/>
          <w:szCs w:val="22"/>
          <w:lang w:val="en-US" w:eastAsia="en-US"/>
        </w:rPr>
        <w:t xml:space="preserve"> the contents of </w:t>
      </w:r>
      <w:r w:rsidR="004E3F15" w:rsidRPr="0018342E">
        <w:rPr>
          <w:rFonts w:ascii="Times New Roman" w:eastAsia="Calibri" w:hAnsi="Times New Roman"/>
          <w:i/>
          <w:iCs/>
          <w:sz w:val="22"/>
          <w:szCs w:val="22"/>
          <w:lang w:val="en-US" w:eastAsia="en-US"/>
        </w:rPr>
        <w:t>CSI-ReportConfig</w:t>
      </w:r>
      <w:r w:rsidR="004E3F15" w:rsidRPr="004E3F15">
        <w:rPr>
          <w:rFonts w:ascii="Times New Roman" w:eastAsia="Calibri" w:hAnsi="Times New Roman"/>
          <w:sz w:val="22"/>
          <w:szCs w:val="22"/>
          <w:lang w:val="en-US" w:eastAsia="en-US"/>
        </w:rPr>
        <w:t xml:space="preserve"> </w:t>
      </w:r>
      <w:r w:rsidR="00E93869">
        <w:rPr>
          <w:rFonts w:ascii="Times New Roman" w:eastAsia="Calibri" w:hAnsi="Times New Roman"/>
          <w:sz w:val="22"/>
          <w:szCs w:val="22"/>
          <w:lang w:val="en-US" w:eastAsia="en-US"/>
        </w:rPr>
        <w:t>(e.g. how to indicate Set A and B and linking of them) can be left to</w:t>
      </w:r>
      <w:r w:rsidR="004E3F15" w:rsidRPr="004E3F15">
        <w:rPr>
          <w:rFonts w:ascii="Times New Roman" w:eastAsia="Calibri" w:hAnsi="Times New Roman"/>
          <w:sz w:val="22"/>
          <w:szCs w:val="22"/>
          <w:lang w:val="en-US" w:eastAsia="en-US"/>
        </w:rPr>
        <w:t xml:space="preserve"> RAN1</w:t>
      </w:r>
      <w:r w:rsidR="00E93869">
        <w:rPr>
          <w:rFonts w:ascii="Times New Roman" w:eastAsia="Calibri" w:hAnsi="Times New Roman"/>
          <w:sz w:val="22"/>
          <w:szCs w:val="22"/>
          <w:lang w:val="en-US" w:eastAsia="en-US"/>
        </w:rPr>
        <w:t xml:space="preserve"> as </w:t>
      </w:r>
      <w:r w:rsidR="0035202E">
        <w:rPr>
          <w:rFonts w:ascii="Times New Roman" w:eastAsia="Calibri" w:hAnsi="Times New Roman"/>
          <w:sz w:val="22"/>
          <w:szCs w:val="22"/>
          <w:lang w:val="en-US" w:eastAsia="en-US"/>
        </w:rPr>
        <w:t>seen</w:t>
      </w:r>
      <w:r w:rsidR="00E93869">
        <w:rPr>
          <w:rFonts w:ascii="Times New Roman" w:eastAsia="Calibri" w:hAnsi="Times New Roman"/>
          <w:sz w:val="22"/>
          <w:szCs w:val="22"/>
          <w:lang w:val="en-US" w:eastAsia="en-US"/>
        </w:rPr>
        <w:t xml:space="preserve"> in the RAN 1 LS below</w:t>
      </w:r>
      <w:r w:rsidR="004E3F15" w:rsidRPr="004E3F15">
        <w:rPr>
          <w:rFonts w:ascii="Times New Roman" w:eastAsia="Calibri" w:hAnsi="Times New Roman"/>
          <w:sz w:val="22"/>
          <w:szCs w:val="22"/>
          <w:lang w:val="en-US" w:eastAsia="en-US"/>
        </w:rPr>
        <w:t>.</w:t>
      </w:r>
    </w:p>
    <w:p w14:paraId="56817C04" w14:textId="77777777" w:rsidR="004E3F15" w:rsidRDefault="004E3F15" w:rsidP="00EB42FD">
      <w:pPr>
        <w:pStyle w:val="Doc-text2"/>
        <w:ind w:left="0" w:firstLine="0"/>
        <w:jc w:val="both"/>
        <w:rPr>
          <w:rFonts w:eastAsiaTheme="minorEastAsia"/>
          <w:lang w:val="en-US" w:eastAsia="zh-CN"/>
        </w:rPr>
      </w:pPr>
    </w:p>
    <w:tbl>
      <w:tblPr>
        <w:tblStyle w:val="10"/>
        <w:tblW w:w="0" w:type="auto"/>
        <w:tblLook w:val="04A0" w:firstRow="1" w:lastRow="0" w:firstColumn="1" w:lastColumn="0" w:noHBand="0" w:noVBand="1"/>
      </w:tblPr>
      <w:tblGrid>
        <w:gridCol w:w="9307"/>
      </w:tblGrid>
      <w:tr w:rsidR="004E3F15" w14:paraId="47F87EC2" w14:textId="77777777" w:rsidTr="004E3F15">
        <w:tc>
          <w:tcPr>
            <w:tcW w:w="9307" w:type="dxa"/>
          </w:tcPr>
          <w:p w14:paraId="46BFD26D" w14:textId="0FB32F27" w:rsidR="004E3F15" w:rsidRPr="004E3F15" w:rsidRDefault="004E3F15" w:rsidP="004E3F15">
            <w:pPr>
              <w:pStyle w:val="CommentText"/>
              <w:spacing w:line="276" w:lineRule="auto"/>
              <w:rPr>
                <w:rFonts w:cs="Arial"/>
                <w:sz w:val="18"/>
                <w:szCs w:val="18"/>
              </w:rPr>
            </w:pPr>
            <w:r w:rsidRPr="00B75479">
              <w:rPr>
                <w:rFonts w:cs="Arial"/>
                <w:b/>
                <w:bCs/>
                <w:sz w:val="18"/>
                <w:szCs w:val="18"/>
              </w:rPr>
              <w:t xml:space="preserve">Answer to Q6: </w:t>
            </w:r>
            <w:r w:rsidRPr="00B75479">
              <w:rPr>
                <w:rFonts w:cs="Arial"/>
                <w:sz w:val="18"/>
                <w:szCs w:val="18"/>
              </w:rPr>
              <w:t xml:space="preserve">Please refer to the agreements related to the Questions from RAN 2. The content of inference configuration as </w:t>
            </w:r>
            <w:r w:rsidRPr="00B75479">
              <w:rPr>
                <w:rFonts w:cs="Arial"/>
                <w:i/>
                <w:iCs/>
                <w:sz w:val="18"/>
                <w:szCs w:val="18"/>
              </w:rPr>
              <w:t xml:space="preserve">CSI-ReportConfig </w:t>
            </w:r>
            <w:r w:rsidRPr="00B75479">
              <w:rPr>
                <w:rFonts w:cs="Arial"/>
                <w:sz w:val="18"/>
                <w:szCs w:val="18"/>
              </w:rPr>
              <w:t>is to be designed later</w:t>
            </w:r>
            <w:r>
              <w:rPr>
                <w:rFonts w:cs="Arial" w:hint="eastAsia"/>
                <w:sz w:val="18"/>
                <w:szCs w:val="18"/>
              </w:rPr>
              <w:t xml:space="preserve"> in RAN1</w:t>
            </w:r>
            <w:r w:rsidRPr="00B75479">
              <w:rPr>
                <w:rFonts w:cs="Arial"/>
                <w:sz w:val="18"/>
                <w:szCs w:val="18"/>
              </w:rPr>
              <w:t xml:space="preserve">. </w:t>
            </w:r>
          </w:p>
        </w:tc>
      </w:tr>
    </w:tbl>
    <w:p w14:paraId="4D6A6C3D" w14:textId="13F66BA2" w:rsidR="004E3F15" w:rsidRDefault="00374D22" w:rsidP="00EB42FD">
      <w:pPr>
        <w:pStyle w:val="Doc-text2"/>
        <w:ind w:left="0" w:firstLine="0"/>
        <w:jc w:val="both"/>
        <w:rPr>
          <w:rFonts w:ascii="Times New Roman" w:eastAsia="Calibri" w:hAnsi="Times New Roman"/>
          <w:sz w:val="22"/>
          <w:szCs w:val="22"/>
          <w:lang w:val="en-US" w:eastAsia="en-US"/>
        </w:rPr>
      </w:pPr>
      <w:r>
        <w:rPr>
          <w:rFonts w:ascii="Times New Roman" w:eastAsia="Calibri" w:hAnsi="Times New Roman"/>
          <w:sz w:val="22"/>
          <w:szCs w:val="22"/>
          <w:lang w:val="en-US" w:eastAsia="en-US"/>
        </w:rPr>
        <w:t xml:space="preserve">For Option 2 (Direction </w:t>
      </w:r>
      <w:r w:rsidR="004E3F15" w:rsidRPr="004E3F15">
        <w:rPr>
          <w:rFonts w:ascii="Times New Roman" w:eastAsia="Calibri" w:hAnsi="Times New Roman" w:hint="eastAsia"/>
          <w:sz w:val="22"/>
          <w:szCs w:val="22"/>
          <w:lang w:val="en-US" w:eastAsia="en-US"/>
        </w:rPr>
        <w:t>B</w:t>
      </w:r>
      <w:r>
        <w:rPr>
          <w:rFonts w:ascii="Times New Roman" w:eastAsia="Calibri" w:hAnsi="Times New Roman"/>
          <w:sz w:val="22"/>
          <w:szCs w:val="22"/>
          <w:lang w:val="en-US" w:eastAsia="en-US"/>
        </w:rPr>
        <w:t xml:space="preserve"> only</w:t>
      </w:r>
      <w:r w:rsidR="004E3F15" w:rsidRPr="004E3F15">
        <w:rPr>
          <w:rFonts w:ascii="Times New Roman" w:eastAsia="Calibri" w:hAnsi="Times New Roman"/>
          <w:sz w:val="22"/>
          <w:szCs w:val="22"/>
          <w:lang w:val="en-US" w:eastAsia="en-US"/>
        </w:rPr>
        <w:t>)</w:t>
      </w:r>
      <w:r w:rsidR="00E93869">
        <w:rPr>
          <w:rFonts w:ascii="Times New Roman" w:eastAsia="Calibri" w:hAnsi="Times New Roman"/>
          <w:sz w:val="22"/>
          <w:szCs w:val="22"/>
          <w:lang w:val="en-US" w:eastAsia="en-US"/>
        </w:rPr>
        <w:t>, the</w:t>
      </w:r>
      <w:r w:rsidR="004E3F15" w:rsidRPr="004E3F15">
        <w:rPr>
          <w:rFonts w:ascii="Times New Roman" w:eastAsia="Calibri" w:hAnsi="Times New Roman"/>
          <w:sz w:val="22"/>
          <w:szCs w:val="22"/>
          <w:lang w:val="en-US" w:eastAsia="en-US"/>
        </w:rPr>
        <w:t xml:space="preserve"> </w:t>
      </w:r>
      <w:proofErr w:type="spellStart"/>
      <w:r w:rsidR="00F572DD">
        <w:rPr>
          <w:rFonts w:ascii="Times New Roman" w:eastAsia="Calibri" w:hAnsi="Times New Roman"/>
          <w:sz w:val="22"/>
          <w:szCs w:val="22"/>
          <w:lang w:val="en-US" w:eastAsia="en-US"/>
        </w:rPr>
        <w:t>gNB</w:t>
      </w:r>
      <w:proofErr w:type="spellEnd"/>
      <w:r w:rsidR="00F572DD">
        <w:rPr>
          <w:rFonts w:ascii="Times New Roman" w:eastAsia="Calibri" w:hAnsi="Times New Roman"/>
          <w:sz w:val="22"/>
          <w:szCs w:val="22"/>
          <w:lang w:val="en-US" w:eastAsia="en-US"/>
        </w:rPr>
        <w:t xml:space="preserve"> provides </w:t>
      </w:r>
      <w:r w:rsidR="00F572DD" w:rsidRPr="00F572DD">
        <w:rPr>
          <w:rFonts w:ascii="Times New Roman" w:eastAsia="Calibri" w:hAnsi="Times New Roman"/>
          <w:sz w:val="22"/>
          <w:szCs w:val="22"/>
          <w:lang w:val="en-US" w:eastAsia="en-US"/>
        </w:rPr>
        <w:t>only</w:t>
      </w:r>
      <w:r w:rsidR="00F572DD">
        <w:rPr>
          <w:rFonts w:ascii="Times New Roman" w:eastAsia="Calibri" w:hAnsi="Times New Roman"/>
          <w:sz w:val="22"/>
          <w:szCs w:val="22"/>
          <w:lang w:val="en-US" w:eastAsia="en-US"/>
        </w:rPr>
        <w:t xml:space="preserve"> the parameter settings for Set A and B for a functionality and </w:t>
      </w:r>
      <w:r w:rsidR="004E3F15" w:rsidRPr="004E3F15">
        <w:rPr>
          <w:rFonts w:ascii="Times New Roman" w:eastAsia="Calibri" w:hAnsi="Times New Roman"/>
          <w:sz w:val="22"/>
          <w:szCs w:val="22"/>
          <w:lang w:val="en-US" w:eastAsia="en-US"/>
        </w:rPr>
        <w:t>is not a full CSI report configuration</w:t>
      </w:r>
      <w:r w:rsidR="00E93869">
        <w:rPr>
          <w:rFonts w:ascii="Times New Roman" w:eastAsia="Calibri" w:hAnsi="Times New Roman"/>
          <w:sz w:val="22"/>
          <w:szCs w:val="22"/>
          <w:lang w:val="en-US" w:eastAsia="en-US"/>
        </w:rPr>
        <w:t xml:space="preserve"> for inference as indicated in the RAN1 LS</w:t>
      </w:r>
      <w:r w:rsidR="00F572DD">
        <w:rPr>
          <w:rFonts w:ascii="Times New Roman" w:eastAsia="Calibri" w:hAnsi="Times New Roman"/>
          <w:sz w:val="22"/>
          <w:szCs w:val="22"/>
          <w:lang w:val="en-US" w:eastAsia="en-US"/>
        </w:rPr>
        <w:t xml:space="preserve"> where it is mentioned that it is for applicable reporting only and not for inference</w:t>
      </w:r>
      <w:r w:rsidR="004E3F15" w:rsidRPr="004E3F15">
        <w:rPr>
          <w:rFonts w:ascii="Times New Roman" w:eastAsia="Calibri" w:hAnsi="Times New Roman"/>
          <w:sz w:val="22"/>
          <w:szCs w:val="22"/>
          <w:lang w:val="en-US" w:eastAsia="en-US"/>
        </w:rPr>
        <w:t xml:space="preserve">. Even if the UE reports </w:t>
      </w:r>
      <w:r w:rsidR="00F572DD">
        <w:rPr>
          <w:rFonts w:ascii="Times New Roman" w:eastAsia="Calibri" w:hAnsi="Times New Roman"/>
          <w:sz w:val="22"/>
          <w:szCs w:val="22"/>
          <w:lang w:val="en-US" w:eastAsia="en-US"/>
        </w:rPr>
        <w:t>the configuration corresponding to a functionality</w:t>
      </w:r>
      <w:r w:rsidR="004E3F15" w:rsidRPr="004E3F15">
        <w:rPr>
          <w:rFonts w:ascii="Times New Roman" w:eastAsia="Calibri" w:hAnsi="Times New Roman"/>
          <w:sz w:val="22"/>
          <w:szCs w:val="22"/>
          <w:lang w:val="en-US" w:eastAsia="en-US"/>
        </w:rPr>
        <w:t xml:space="preserve"> as applicable, the network will have to send another RRC reconfiguration</w:t>
      </w:r>
      <w:r w:rsidR="00F572DD">
        <w:rPr>
          <w:rFonts w:ascii="Times New Roman" w:eastAsia="Calibri" w:hAnsi="Times New Roman"/>
          <w:sz w:val="22"/>
          <w:szCs w:val="22"/>
          <w:lang w:val="en-US" w:eastAsia="en-US"/>
        </w:rPr>
        <w:t xml:space="preserve"> (i.e. in Step 5)</w:t>
      </w:r>
      <w:r w:rsidR="00E93869">
        <w:rPr>
          <w:rFonts w:ascii="Times New Roman" w:eastAsia="Calibri" w:hAnsi="Times New Roman"/>
          <w:sz w:val="22"/>
          <w:szCs w:val="22"/>
          <w:lang w:val="en-US" w:eastAsia="en-US"/>
        </w:rPr>
        <w:t xml:space="preserve"> to provide the </w:t>
      </w:r>
      <w:r w:rsidR="00E93869" w:rsidRPr="00E93869">
        <w:rPr>
          <w:rFonts w:ascii="Times New Roman" w:eastAsia="Calibri" w:hAnsi="Times New Roman"/>
          <w:i/>
          <w:sz w:val="22"/>
          <w:szCs w:val="22"/>
          <w:lang w:val="en-US" w:eastAsia="en-US"/>
        </w:rPr>
        <w:t>CSI-ReportConfig</w:t>
      </w:r>
      <w:r w:rsidR="00E93869">
        <w:rPr>
          <w:rFonts w:ascii="Times New Roman" w:eastAsia="Calibri" w:hAnsi="Times New Roman"/>
          <w:sz w:val="22"/>
          <w:szCs w:val="22"/>
          <w:lang w:val="en-US" w:eastAsia="en-US"/>
        </w:rPr>
        <w:t xml:space="preserve"> </w:t>
      </w:r>
      <w:r w:rsidR="00F572DD">
        <w:rPr>
          <w:rFonts w:ascii="Times New Roman" w:eastAsia="Calibri" w:hAnsi="Times New Roman"/>
          <w:sz w:val="22"/>
          <w:szCs w:val="22"/>
          <w:lang w:val="en-US" w:eastAsia="en-US"/>
        </w:rPr>
        <w:t xml:space="preserve">configurations </w:t>
      </w:r>
      <w:r w:rsidR="00E93869">
        <w:rPr>
          <w:rFonts w:ascii="Times New Roman" w:eastAsia="Calibri" w:hAnsi="Times New Roman"/>
          <w:sz w:val="22"/>
          <w:szCs w:val="22"/>
          <w:lang w:val="en-US" w:eastAsia="en-US"/>
        </w:rPr>
        <w:t>for inference</w:t>
      </w:r>
      <w:r w:rsidR="004E3F15" w:rsidRPr="004E3F15">
        <w:rPr>
          <w:rFonts w:ascii="Times New Roman" w:eastAsia="Calibri" w:hAnsi="Times New Roman"/>
          <w:sz w:val="22"/>
          <w:szCs w:val="22"/>
          <w:lang w:val="en-US" w:eastAsia="en-US"/>
        </w:rPr>
        <w:t xml:space="preserve">. So, if </w:t>
      </w:r>
      <w:r w:rsidR="00F572DD">
        <w:rPr>
          <w:rFonts w:ascii="Times New Roman" w:eastAsia="Calibri" w:hAnsi="Times New Roman"/>
          <w:sz w:val="22"/>
          <w:szCs w:val="22"/>
          <w:lang w:val="en-US" w:eastAsia="en-US"/>
        </w:rPr>
        <w:t xml:space="preserve">only Direction </w:t>
      </w:r>
      <w:r w:rsidR="004E3F15" w:rsidRPr="004E3F15">
        <w:rPr>
          <w:rFonts w:ascii="Times New Roman" w:eastAsia="Calibri" w:hAnsi="Times New Roman"/>
          <w:sz w:val="22"/>
          <w:szCs w:val="22"/>
          <w:lang w:val="en-US" w:eastAsia="en-US"/>
        </w:rPr>
        <w:t xml:space="preserve">B is applied, it </w:t>
      </w:r>
      <w:r w:rsidR="00F572DD">
        <w:rPr>
          <w:rFonts w:ascii="Times New Roman" w:eastAsia="Calibri" w:hAnsi="Times New Roman"/>
          <w:sz w:val="22"/>
          <w:szCs w:val="22"/>
          <w:lang w:val="en-US" w:eastAsia="en-US"/>
        </w:rPr>
        <w:t>is more logical to</w:t>
      </w:r>
      <w:r w:rsidR="004E3F15" w:rsidRPr="004E3F15">
        <w:rPr>
          <w:rFonts w:ascii="Times New Roman" w:eastAsia="Calibri" w:hAnsi="Times New Roman"/>
          <w:sz w:val="22"/>
          <w:szCs w:val="22"/>
          <w:lang w:val="en-US" w:eastAsia="en-US"/>
        </w:rPr>
        <w:t xml:space="preserve"> configure</w:t>
      </w:r>
      <w:r w:rsidR="00F572DD">
        <w:rPr>
          <w:rFonts w:ascii="Times New Roman" w:eastAsia="Calibri" w:hAnsi="Times New Roman"/>
          <w:sz w:val="22"/>
          <w:szCs w:val="22"/>
          <w:lang w:val="en-US" w:eastAsia="en-US"/>
        </w:rPr>
        <w:t xml:space="preserve"> the parameter settings for Set A and B</w:t>
      </w:r>
      <w:r w:rsidR="004E3F15" w:rsidRPr="004E3F15">
        <w:rPr>
          <w:rFonts w:ascii="Times New Roman" w:eastAsia="Calibri" w:hAnsi="Times New Roman"/>
          <w:sz w:val="22"/>
          <w:szCs w:val="22"/>
          <w:lang w:val="en-US" w:eastAsia="en-US"/>
        </w:rPr>
        <w:t xml:space="preserve"> in </w:t>
      </w:r>
      <w:proofErr w:type="spellStart"/>
      <w:r w:rsidR="004E3F15" w:rsidRPr="0018342E">
        <w:rPr>
          <w:rFonts w:ascii="Times New Roman" w:eastAsia="Calibri" w:hAnsi="Times New Roman"/>
          <w:i/>
          <w:iCs/>
          <w:sz w:val="22"/>
          <w:szCs w:val="22"/>
          <w:lang w:val="en-US" w:eastAsia="en-US"/>
        </w:rPr>
        <w:t>OtherConfig</w:t>
      </w:r>
      <w:proofErr w:type="spellEnd"/>
      <w:r w:rsidR="00F572DD">
        <w:rPr>
          <w:rFonts w:ascii="Times New Roman" w:eastAsia="Calibri" w:hAnsi="Times New Roman"/>
          <w:iCs/>
          <w:sz w:val="22"/>
          <w:szCs w:val="22"/>
          <w:lang w:val="en-US" w:eastAsia="en-US"/>
        </w:rPr>
        <w:t xml:space="preserve"> together with the configuration for the UAI reporting for reporting applicability</w:t>
      </w:r>
      <w:r w:rsidR="004E3F15" w:rsidRPr="004E3F15">
        <w:rPr>
          <w:rFonts w:ascii="Times New Roman" w:eastAsia="Calibri" w:hAnsi="Times New Roman"/>
          <w:sz w:val="22"/>
          <w:szCs w:val="22"/>
          <w:lang w:val="en-US" w:eastAsia="en-US"/>
        </w:rPr>
        <w:t>.</w:t>
      </w:r>
    </w:p>
    <w:p w14:paraId="539DD1BC" w14:textId="6883ED70" w:rsidR="00F572DD" w:rsidRDefault="00F572DD" w:rsidP="00EB42FD">
      <w:pPr>
        <w:pStyle w:val="Doc-text2"/>
        <w:ind w:left="0" w:firstLine="0"/>
        <w:jc w:val="both"/>
        <w:rPr>
          <w:rFonts w:ascii="Times New Roman" w:eastAsia="Calibri" w:hAnsi="Times New Roman"/>
          <w:sz w:val="22"/>
          <w:szCs w:val="22"/>
          <w:lang w:val="en-US" w:eastAsia="en-US"/>
        </w:rPr>
      </w:pPr>
    </w:p>
    <w:p w14:paraId="70F11F32" w14:textId="223C7132" w:rsidR="002D4B68" w:rsidRDefault="00F572DD" w:rsidP="00EB42FD">
      <w:pPr>
        <w:pStyle w:val="Doc-text2"/>
        <w:ind w:left="0" w:firstLine="0"/>
        <w:jc w:val="both"/>
        <w:rPr>
          <w:rFonts w:ascii="Times New Roman" w:eastAsia="Calibri" w:hAnsi="Times New Roman"/>
          <w:sz w:val="22"/>
          <w:szCs w:val="22"/>
          <w:lang w:val="en-US" w:eastAsia="en-US"/>
        </w:rPr>
      </w:pPr>
      <w:r>
        <w:rPr>
          <w:rFonts w:ascii="Times New Roman" w:eastAsia="Calibri" w:hAnsi="Times New Roman"/>
          <w:sz w:val="22"/>
          <w:szCs w:val="22"/>
          <w:lang w:val="en-US" w:eastAsia="en-US"/>
        </w:rPr>
        <w:lastRenderedPageBreak/>
        <w:t>For Option 3 (both Direction A and B),</w:t>
      </w:r>
      <w:r w:rsidR="002D4B68">
        <w:rPr>
          <w:rFonts w:ascii="Times New Roman" w:eastAsia="Calibri" w:hAnsi="Times New Roman"/>
          <w:sz w:val="22"/>
          <w:szCs w:val="22"/>
          <w:lang w:val="en-US" w:eastAsia="en-US"/>
        </w:rPr>
        <w:t xml:space="preserve"> as mentioned, there can be different interpretation</w:t>
      </w:r>
      <w:r w:rsidR="009F310E">
        <w:rPr>
          <w:rFonts w:ascii="Times New Roman" w:eastAsia="Calibri" w:hAnsi="Times New Roman"/>
          <w:sz w:val="22"/>
          <w:szCs w:val="22"/>
          <w:lang w:val="en-US" w:eastAsia="en-US"/>
        </w:rPr>
        <w:t>s</w:t>
      </w:r>
      <w:r w:rsidR="002D4B68">
        <w:rPr>
          <w:rFonts w:ascii="Times New Roman" w:eastAsia="Calibri" w:hAnsi="Times New Roman"/>
          <w:sz w:val="22"/>
          <w:szCs w:val="22"/>
          <w:lang w:val="en-US" w:eastAsia="en-US"/>
        </w:rPr>
        <w:t xml:space="preserve"> on this:</w:t>
      </w:r>
    </w:p>
    <w:p w14:paraId="1F8E5FC6" w14:textId="1FFEE763" w:rsidR="002D4B68" w:rsidRDefault="002D4B68" w:rsidP="0035202E">
      <w:pPr>
        <w:pStyle w:val="Doc-text2"/>
        <w:ind w:left="425" w:firstLine="0"/>
        <w:jc w:val="both"/>
        <w:rPr>
          <w:rFonts w:ascii="Times New Roman" w:eastAsia="Calibri" w:hAnsi="Times New Roman"/>
          <w:sz w:val="22"/>
          <w:szCs w:val="22"/>
          <w:lang w:val="en-US" w:eastAsia="en-US"/>
        </w:rPr>
      </w:pPr>
      <w:r>
        <w:rPr>
          <w:rFonts w:ascii="Times New Roman" w:eastAsia="Calibri" w:hAnsi="Times New Roman"/>
          <w:sz w:val="22"/>
          <w:szCs w:val="22"/>
          <w:lang w:val="en-US" w:eastAsia="en-US"/>
        </w:rPr>
        <w:t>Interpretation#1: S</w:t>
      </w:r>
      <w:r w:rsidRPr="002D4B68">
        <w:rPr>
          <w:rFonts w:ascii="Times New Roman" w:eastAsia="Calibri" w:hAnsi="Times New Roman"/>
          <w:sz w:val="22"/>
          <w:szCs w:val="22"/>
          <w:lang w:val="en-US" w:eastAsia="en-US"/>
        </w:rPr>
        <w:t>ome functionalities in Direction A and some functionalities in Direction B</w:t>
      </w:r>
      <w:r>
        <w:rPr>
          <w:rFonts w:ascii="Times New Roman" w:eastAsia="Calibri" w:hAnsi="Times New Roman"/>
          <w:sz w:val="22"/>
          <w:szCs w:val="22"/>
          <w:lang w:val="en-US" w:eastAsia="en-US"/>
        </w:rPr>
        <w:t xml:space="preserve"> or even the</w:t>
      </w:r>
      <w:r w:rsidRPr="002D4B68">
        <w:rPr>
          <w:rFonts w:ascii="Times New Roman" w:eastAsia="Calibri" w:hAnsi="Times New Roman"/>
          <w:sz w:val="22"/>
          <w:szCs w:val="22"/>
          <w:lang w:val="en-US" w:eastAsia="en-US"/>
        </w:rPr>
        <w:t xml:space="preserve"> same functionality is defined in Direction A as well as Direc</w:t>
      </w:r>
      <w:r>
        <w:rPr>
          <w:rFonts w:ascii="Times New Roman" w:eastAsia="Calibri" w:hAnsi="Times New Roman"/>
          <w:sz w:val="22"/>
          <w:szCs w:val="22"/>
          <w:lang w:val="en-US" w:eastAsia="en-US"/>
        </w:rPr>
        <w:t>tion B</w:t>
      </w:r>
    </w:p>
    <w:p w14:paraId="10FF8BAC" w14:textId="1EB9D7FE" w:rsidR="002D4B68" w:rsidRDefault="002D4B68" w:rsidP="0035202E">
      <w:pPr>
        <w:pStyle w:val="Doc-text2"/>
        <w:ind w:left="425" w:firstLine="0"/>
        <w:jc w:val="both"/>
        <w:rPr>
          <w:rFonts w:ascii="Times New Roman" w:eastAsia="Calibri" w:hAnsi="Times New Roman"/>
          <w:sz w:val="22"/>
          <w:szCs w:val="22"/>
          <w:lang w:val="en-US" w:eastAsia="en-US"/>
        </w:rPr>
      </w:pPr>
      <w:r>
        <w:rPr>
          <w:rFonts w:ascii="Times New Roman" w:eastAsia="Calibri" w:hAnsi="Times New Roman"/>
          <w:sz w:val="22"/>
          <w:szCs w:val="22"/>
          <w:lang w:val="en-US" w:eastAsia="en-US"/>
        </w:rPr>
        <w:t>Interpretation#2: A</w:t>
      </w:r>
      <w:r w:rsidRPr="002D4B68">
        <w:rPr>
          <w:rFonts w:ascii="Times New Roman" w:eastAsia="Calibri" w:hAnsi="Times New Roman"/>
          <w:sz w:val="22"/>
          <w:szCs w:val="22"/>
          <w:lang w:val="en-US" w:eastAsia="en-US"/>
        </w:rPr>
        <w:t xml:space="preserve"> functionality is partially defined by Direction A and partially defined by Direction B</w:t>
      </w:r>
    </w:p>
    <w:p w14:paraId="2838E138" w14:textId="728E6BE6" w:rsidR="00F572DD" w:rsidRPr="004E3F15" w:rsidRDefault="002D4B68" w:rsidP="00EB42FD">
      <w:pPr>
        <w:pStyle w:val="Doc-text2"/>
        <w:ind w:left="0" w:firstLine="0"/>
        <w:jc w:val="both"/>
        <w:rPr>
          <w:rFonts w:ascii="Times New Roman" w:eastAsia="Calibri" w:hAnsi="Times New Roman"/>
          <w:sz w:val="22"/>
          <w:szCs w:val="22"/>
          <w:lang w:val="en-US" w:eastAsia="en-US"/>
        </w:rPr>
      </w:pPr>
      <w:r>
        <w:rPr>
          <w:rFonts w:ascii="Times New Roman" w:eastAsia="Calibri" w:hAnsi="Times New Roman"/>
          <w:sz w:val="22"/>
          <w:szCs w:val="22"/>
          <w:lang w:val="en-US" w:eastAsia="en-US"/>
        </w:rPr>
        <w:t>With Interpetation#1, it will be the same as Option 1 for Direction A and Option 2 for Direction B. However, if it is Interpretation#2 (e.g.</w:t>
      </w:r>
      <w:r w:rsidR="00F572DD">
        <w:rPr>
          <w:rFonts w:ascii="Times New Roman" w:eastAsia="Calibri" w:hAnsi="Times New Roman"/>
          <w:sz w:val="22"/>
          <w:szCs w:val="22"/>
          <w:lang w:val="en-US" w:eastAsia="en-US"/>
        </w:rPr>
        <w:t xml:space="preserve"> other than providing one or more of </w:t>
      </w:r>
      <w:r w:rsidR="00F572DD" w:rsidRPr="00F572DD">
        <w:rPr>
          <w:rFonts w:ascii="Times New Roman" w:eastAsia="Calibri" w:hAnsi="Times New Roman"/>
          <w:i/>
          <w:sz w:val="22"/>
          <w:szCs w:val="22"/>
          <w:lang w:val="en-US" w:eastAsia="en-US"/>
        </w:rPr>
        <w:t>CSI-ReportConfig</w:t>
      </w:r>
      <w:r w:rsidR="00F572DD">
        <w:rPr>
          <w:rFonts w:ascii="Times New Roman" w:eastAsia="Calibri" w:hAnsi="Times New Roman"/>
          <w:sz w:val="22"/>
          <w:szCs w:val="22"/>
          <w:lang w:val="en-US" w:eastAsia="en-US"/>
        </w:rPr>
        <w:t xml:space="preserve"> for inference operation, the </w:t>
      </w:r>
      <w:proofErr w:type="spellStart"/>
      <w:r w:rsidR="00F572DD">
        <w:rPr>
          <w:rFonts w:ascii="Times New Roman" w:eastAsia="Calibri" w:hAnsi="Times New Roman"/>
          <w:sz w:val="22"/>
          <w:szCs w:val="22"/>
          <w:lang w:val="en-US" w:eastAsia="en-US"/>
        </w:rPr>
        <w:t>gNB</w:t>
      </w:r>
      <w:proofErr w:type="spellEnd"/>
      <w:r w:rsidR="00F572DD">
        <w:rPr>
          <w:rFonts w:ascii="Times New Roman" w:eastAsia="Calibri" w:hAnsi="Times New Roman"/>
          <w:sz w:val="22"/>
          <w:szCs w:val="22"/>
          <w:lang w:val="en-US" w:eastAsia="en-US"/>
        </w:rPr>
        <w:t xml:space="preserve"> may provide other parameter settings (e.g. </w:t>
      </w:r>
      <w:r w:rsidR="00F572DD" w:rsidRPr="00F572DD">
        <w:rPr>
          <w:rFonts w:ascii="Times New Roman" w:eastAsia="Calibri" w:hAnsi="Times New Roman"/>
          <w:sz w:val="22"/>
          <w:szCs w:val="22"/>
          <w:lang w:val="en-US" w:eastAsia="en-US"/>
        </w:rPr>
        <w:t>Report content related information</w:t>
      </w:r>
      <w:r w:rsidR="00B54E59">
        <w:rPr>
          <w:rFonts w:ascii="Times New Roman" w:eastAsia="Calibri" w:hAnsi="Times New Roman"/>
          <w:sz w:val="22"/>
          <w:szCs w:val="22"/>
          <w:lang w:val="en-US" w:eastAsia="en-US"/>
        </w:rPr>
        <w:t>, time instances of BM-Case 2</w:t>
      </w:r>
      <w:r w:rsidR="00F572DD">
        <w:rPr>
          <w:rFonts w:ascii="Times New Roman" w:eastAsia="Calibri" w:hAnsi="Times New Roman"/>
          <w:sz w:val="22"/>
          <w:szCs w:val="22"/>
          <w:lang w:val="en-US" w:eastAsia="en-US"/>
        </w:rPr>
        <w:t xml:space="preserve"> etc.)</w:t>
      </w:r>
      <w:r>
        <w:rPr>
          <w:rFonts w:ascii="Times New Roman" w:eastAsia="Calibri" w:hAnsi="Times New Roman"/>
          <w:sz w:val="22"/>
          <w:szCs w:val="22"/>
          <w:lang w:val="en-US" w:eastAsia="en-US"/>
        </w:rPr>
        <w:t>)</w:t>
      </w:r>
      <w:r w:rsidR="00F572DD">
        <w:rPr>
          <w:rFonts w:ascii="Times New Roman" w:eastAsia="Calibri" w:hAnsi="Times New Roman"/>
          <w:sz w:val="22"/>
          <w:szCs w:val="22"/>
          <w:lang w:val="en-US" w:eastAsia="en-US"/>
        </w:rPr>
        <w:t xml:space="preserve">.  With the details still yet to be defined in RAN 1, it is still unclear from the RAN1 LS </w:t>
      </w:r>
      <w:r>
        <w:rPr>
          <w:rFonts w:ascii="Times New Roman" w:eastAsia="Calibri" w:hAnsi="Times New Roman"/>
          <w:sz w:val="22"/>
          <w:szCs w:val="22"/>
          <w:lang w:val="en-US" w:eastAsia="en-US"/>
        </w:rPr>
        <w:t>which interpretation RAN1 is progressing</w:t>
      </w:r>
      <w:r w:rsidR="00F572DD">
        <w:rPr>
          <w:rFonts w:ascii="Times New Roman" w:eastAsia="Calibri" w:hAnsi="Times New Roman"/>
          <w:sz w:val="22"/>
          <w:szCs w:val="22"/>
          <w:lang w:val="en-US" w:eastAsia="en-US"/>
        </w:rPr>
        <w:t>.</w:t>
      </w:r>
      <w:r>
        <w:rPr>
          <w:rFonts w:ascii="Times New Roman" w:eastAsia="Calibri" w:hAnsi="Times New Roman"/>
          <w:sz w:val="22"/>
          <w:szCs w:val="22"/>
          <w:lang w:val="en-US" w:eastAsia="en-US"/>
        </w:rPr>
        <w:t xml:space="preserve">  RAN1 may also down select to 1 direction at the end. Hence,</w:t>
      </w:r>
      <w:r w:rsidR="00F572DD">
        <w:rPr>
          <w:rFonts w:ascii="Times New Roman" w:eastAsia="Calibri" w:hAnsi="Times New Roman"/>
          <w:sz w:val="22"/>
          <w:szCs w:val="22"/>
          <w:lang w:val="en-US" w:eastAsia="en-US"/>
        </w:rPr>
        <w:t xml:space="preserve"> RAN2 can wait for further RAN1 progress. </w:t>
      </w:r>
    </w:p>
    <w:p w14:paraId="033DD1A4" w14:textId="77777777" w:rsidR="004E3F15" w:rsidRPr="004E3F15" w:rsidRDefault="004E3F15" w:rsidP="00EB42FD">
      <w:pPr>
        <w:pStyle w:val="Doc-text2"/>
        <w:ind w:left="0" w:firstLine="0"/>
        <w:jc w:val="both"/>
        <w:rPr>
          <w:rFonts w:eastAsiaTheme="minorEastAsia"/>
          <w:lang w:val="en-US" w:eastAsia="zh-CN"/>
        </w:rPr>
      </w:pPr>
    </w:p>
    <w:p w14:paraId="60B47BC5" w14:textId="1EBBE609" w:rsidR="00F572DD" w:rsidRPr="005436D9" w:rsidRDefault="0018342E" w:rsidP="0018342E">
      <w:pPr>
        <w:rPr>
          <w:rFonts w:eastAsia="Calibri"/>
          <w:b/>
          <w:bCs/>
        </w:rPr>
      </w:pPr>
      <w:r w:rsidRPr="005436D9">
        <w:rPr>
          <w:rFonts w:eastAsia="Calibri"/>
          <w:b/>
          <w:bCs/>
        </w:rPr>
        <w:t xml:space="preserve">Proposal 1: </w:t>
      </w:r>
      <w:r w:rsidR="00F572DD" w:rsidRPr="005436D9">
        <w:rPr>
          <w:rFonts w:eastAsia="Calibri"/>
          <w:b/>
          <w:bCs/>
        </w:rPr>
        <w:t>As baseline, the RRC signalling for Direction A and B can be as follow:</w:t>
      </w:r>
    </w:p>
    <w:p w14:paraId="34D1A4D5" w14:textId="0D8CCA1E" w:rsidR="00F572DD" w:rsidRPr="005436D9" w:rsidRDefault="00F572DD" w:rsidP="00F572DD">
      <w:pPr>
        <w:pStyle w:val="Doc-text2"/>
        <w:numPr>
          <w:ilvl w:val="0"/>
          <w:numId w:val="20"/>
        </w:numPr>
        <w:jc w:val="both"/>
        <w:rPr>
          <w:rFonts w:ascii="Times New Roman" w:eastAsia="Calibri" w:hAnsi="Times New Roman"/>
          <w:b/>
          <w:bCs/>
          <w:sz w:val="22"/>
          <w:szCs w:val="22"/>
          <w:lang w:val="en-US" w:eastAsia="en-US"/>
        </w:rPr>
      </w:pPr>
      <w:r w:rsidRPr="005436D9">
        <w:rPr>
          <w:rFonts w:ascii="Times New Roman" w:eastAsia="Calibri" w:hAnsi="Times New Roman"/>
          <w:b/>
          <w:bCs/>
          <w:sz w:val="22"/>
          <w:szCs w:val="22"/>
          <w:lang w:val="en-US" w:eastAsia="en-US"/>
        </w:rPr>
        <w:t xml:space="preserve">Option 1: Only Direction A): One or more CSI-ReportConfig configurations for inference is included as part of the existing CSI reporting framework/configuration. </w:t>
      </w:r>
    </w:p>
    <w:p w14:paraId="69AD4908" w14:textId="5961ECEE" w:rsidR="00F572DD" w:rsidRPr="005436D9" w:rsidRDefault="00F572DD" w:rsidP="00F572DD">
      <w:pPr>
        <w:pStyle w:val="Doc-text2"/>
        <w:numPr>
          <w:ilvl w:val="0"/>
          <w:numId w:val="19"/>
        </w:numPr>
        <w:jc w:val="both"/>
        <w:rPr>
          <w:rFonts w:ascii="Times New Roman" w:eastAsia="Calibri" w:hAnsi="Times New Roman"/>
          <w:b/>
          <w:bCs/>
          <w:sz w:val="22"/>
          <w:szCs w:val="22"/>
          <w:lang w:val="en-US" w:eastAsia="en-US"/>
        </w:rPr>
      </w:pPr>
      <w:r w:rsidRPr="005436D9">
        <w:rPr>
          <w:rFonts w:ascii="Times New Roman" w:eastAsia="Calibri" w:hAnsi="Times New Roman"/>
          <w:b/>
          <w:bCs/>
          <w:sz w:val="22"/>
          <w:szCs w:val="22"/>
          <w:lang w:val="en-US" w:eastAsia="en-US"/>
        </w:rPr>
        <w:t xml:space="preserve">Option 2: Only Direction B): One set or multiple sets of inference related parameters for applicability report is included in </w:t>
      </w:r>
      <w:proofErr w:type="spellStart"/>
      <w:r w:rsidRPr="005436D9">
        <w:rPr>
          <w:rFonts w:ascii="Times New Roman" w:eastAsia="Calibri" w:hAnsi="Times New Roman"/>
          <w:b/>
          <w:bCs/>
          <w:sz w:val="22"/>
          <w:szCs w:val="22"/>
          <w:lang w:val="en-US" w:eastAsia="en-US"/>
        </w:rPr>
        <w:t>OtherConfig</w:t>
      </w:r>
      <w:proofErr w:type="spellEnd"/>
      <w:r w:rsidRPr="005436D9">
        <w:rPr>
          <w:rFonts w:ascii="Times New Roman" w:eastAsia="Calibri" w:hAnsi="Times New Roman"/>
          <w:b/>
          <w:bCs/>
          <w:sz w:val="22"/>
          <w:szCs w:val="22"/>
          <w:lang w:val="en-US" w:eastAsia="en-US"/>
        </w:rPr>
        <w:t xml:space="preserve"> together with the configuration </w:t>
      </w:r>
      <w:r w:rsidR="00685B88" w:rsidRPr="005436D9">
        <w:rPr>
          <w:rFonts w:ascii="Times New Roman" w:eastAsia="Calibri" w:hAnsi="Times New Roman"/>
          <w:b/>
          <w:bCs/>
          <w:sz w:val="22"/>
          <w:szCs w:val="22"/>
          <w:lang w:val="en-US" w:eastAsia="en-US"/>
        </w:rPr>
        <w:t>of</w:t>
      </w:r>
      <w:r w:rsidRPr="005436D9">
        <w:rPr>
          <w:rFonts w:ascii="Times New Roman" w:eastAsia="Calibri" w:hAnsi="Times New Roman"/>
          <w:b/>
          <w:bCs/>
          <w:sz w:val="22"/>
          <w:szCs w:val="22"/>
          <w:lang w:val="en-US" w:eastAsia="en-US"/>
        </w:rPr>
        <w:t xml:space="preserve"> UAI for applicability</w:t>
      </w:r>
      <w:r w:rsidR="00685B88" w:rsidRPr="005436D9">
        <w:rPr>
          <w:rFonts w:ascii="Times New Roman" w:eastAsia="Calibri" w:hAnsi="Times New Roman"/>
          <w:b/>
          <w:bCs/>
          <w:sz w:val="22"/>
          <w:szCs w:val="22"/>
          <w:lang w:val="en-US" w:eastAsia="en-US"/>
        </w:rPr>
        <w:t xml:space="preserve"> reporting</w:t>
      </w:r>
    </w:p>
    <w:p w14:paraId="37D7A6F3" w14:textId="34D1A4D5" w:rsidR="00F572DD" w:rsidRPr="005436D9" w:rsidRDefault="00F572DD" w:rsidP="00F572DD">
      <w:pPr>
        <w:pStyle w:val="Doc-text2"/>
        <w:ind w:left="0" w:firstLine="0"/>
        <w:jc w:val="both"/>
        <w:rPr>
          <w:rFonts w:ascii="Times New Roman" w:eastAsia="Calibri" w:hAnsi="Times New Roman"/>
          <w:b/>
          <w:bCs/>
          <w:sz w:val="22"/>
          <w:szCs w:val="22"/>
          <w:lang w:val="en-US" w:eastAsia="en-US"/>
        </w:rPr>
      </w:pPr>
      <w:r w:rsidRPr="005436D9">
        <w:rPr>
          <w:rFonts w:ascii="Times New Roman" w:eastAsia="Calibri" w:hAnsi="Times New Roman"/>
          <w:b/>
          <w:bCs/>
          <w:sz w:val="22"/>
          <w:szCs w:val="22"/>
          <w:lang w:val="en-US" w:eastAsia="en-US"/>
        </w:rPr>
        <w:t>For Option 3: Mix of Direction A) and B)</w:t>
      </w:r>
      <w:r w:rsidR="0035202E" w:rsidRPr="005436D9">
        <w:rPr>
          <w:rFonts w:ascii="Times New Roman" w:eastAsia="Calibri" w:hAnsi="Times New Roman"/>
          <w:b/>
          <w:bCs/>
          <w:sz w:val="22"/>
          <w:szCs w:val="22"/>
          <w:lang w:val="en-US" w:eastAsia="en-US"/>
        </w:rPr>
        <w:t xml:space="preserve"> (which can be interpreted differently as e.g. a functionality is partially defined by Direction A and partially defined by Direction B, or some functionalities in Direction A and some functionalities in Direction B or even the same functionality is defined in Direction A as well as Direction)</w:t>
      </w:r>
      <w:r w:rsidRPr="005436D9">
        <w:rPr>
          <w:rFonts w:ascii="Times New Roman" w:eastAsia="Calibri" w:hAnsi="Times New Roman"/>
          <w:b/>
          <w:bCs/>
          <w:sz w:val="22"/>
          <w:szCs w:val="22"/>
          <w:lang w:val="en-US" w:eastAsia="en-US"/>
        </w:rPr>
        <w:t>: Wait for further progress</w:t>
      </w:r>
      <w:r w:rsidR="0035202E" w:rsidRPr="005436D9">
        <w:rPr>
          <w:rFonts w:ascii="Times New Roman" w:eastAsia="Calibri" w:hAnsi="Times New Roman"/>
          <w:b/>
          <w:bCs/>
          <w:sz w:val="22"/>
          <w:szCs w:val="22"/>
          <w:lang w:val="en-US" w:eastAsia="en-US"/>
        </w:rPr>
        <w:t>/clarification</w:t>
      </w:r>
      <w:r w:rsidRPr="005436D9">
        <w:rPr>
          <w:rFonts w:ascii="Times New Roman" w:eastAsia="Calibri" w:hAnsi="Times New Roman"/>
          <w:b/>
          <w:bCs/>
          <w:sz w:val="22"/>
          <w:szCs w:val="22"/>
          <w:lang w:val="en-US" w:eastAsia="en-US"/>
        </w:rPr>
        <w:t xml:space="preserve"> from RAN1. </w:t>
      </w:r>
    </w:p>
    <w:p w14:paraId="0FD5F709" w14:textId="1CCB5761" w:rsidR="004E3F15" w:rsidRPr="0018342E" w:rsidRDefault="00F572DD" w:rsidP="00EB42FD">
      <w:pPr>
        <w:rPr>
          <w:lang w:val="en-GB" w:eastAsia="zh-CN"/>
        </w:rPr>
      </w:pPr>
      <w:r>
        <w:rPr>
          <w:b/>
          <w:bCs/>
          <w:lang w:val="en-GB" w:eastAsia="zh-CN"/>
        </w:rPr>
        <w:t xml:space="preserve"> </w:t>
      </w:r>
    </w:p>
    <w:p w14:paraId="0482B75C" w14:textId="1A4F0AB3" w:rsidR="00302780" w:rsidRDefault="00907E1D" w:rsidP="005C2ED6">
      <w:pPr>
        <w:rPr>
          <w:rFonts w:eastAsia="Calibri"/>
        </w:rPr>
      </w:pPr>
      <w:r>
        <w:rPr>
          <w:rFonts w:eastAsia="Calibri"/>
        </w:rPr>
        <w:t>Associated ID is</w:t>
      </w:r>
      <w:r w:rsidR="00302780">
        <w:rPr>
          <w:rFonts w:eastAsia="Calibri"/>
        </w:rPr>
        <w:t xml:space="preserve"> </w:t>
      </w:r>
      <w:r w:rsidR="00282BA6" w:rsidRPr="00282BA6">
        <w:rPr>
          <w:rFonts w:eastAsia="Calibri" w:hint="eastAsia"/>
        </w:rPr>
        <w:t>agreed</w:t>
      </w:r>
      <w:r w:rsidR="00302780">
        <w:rPr>
          <w:rFonts w:eastAsia="Calibri"/>
        </w:rPr>
        <w:t xml:space="preserve"> </w:t>
      </w:r>
      <w:r>
        <w:rPr>
          <w:rFonts w:eastAsia="Calibri"/>
        </w:rPr>
        <w:t xml:space="preserve">as a working assumption </w:t>
      </w:r>
      <w:r w:rsidR="00302780">
        <w:rPr>
          <w:rFonts w:eastAsia="Calibri"/>
        </w:rPr>
        <w:t>by RAN1</w:t>
      </w:r>
      <w:r w:rsidR="00282BA6">
        <w:rPr>
          <w:rFonts w:eastAsia="Calibri"/>
        </w:rPr>
        <w:t xml:space="preserve"> </w:t>
      </w:r>
      <w:r>
        <w:rPr>
          <w:rFonts w:eastAsia="Calibri"/>
        </w:rPr>
        <w:t>to be</w:t>
      </w:r>
      <w:r w:rsidR="00302780">
        <w:rPr>
          <w:rFonts w:eastAsia="Calibri"/>
        </w:rPr>
        <w:t xml:space="preserve"> used to </w:t>
      </w:r>
      <w:r w:rsidRPr="00907E1D">
        <w:rPr>
          <w:rFonts w:eastAsia="Calibri"/>
        </w:rPr>
        <w:t>ensure the consistency of NW-side additional condition across training and inference for UE-sided model for BM-Case 1 and BM Case 2</w:t>
      </w:r>
      <w:r w:rsidR="006E6D68">
        <w:rPr>
          <w:rFonts w:eastAsia="Calibri"/>
        </w:rPr>
        <w:t>, when needed</w:t>
      </w:r>
      <w:r w:rsidR="00302780">
        <w:rPr>
          <w:rFonts w:eastAsia="Calibri"/>
        </w:rPr>
        <w:t>. The network side additional condition alignment can be done in the following ways.</w:t>
      </w:r>
    </w:p>
    <w:p w14:paraId="592992AD" w14:textId="77777777" w:rsidR="00302780" w:rsidRDefault="00302780" w:rsidP="004A4578">
      <w:pPr>
        <w:pStyle w:val="ListParagraph"/>
        <w:numPr>
          <w:ilvl w:val="0"/>
          <w:numId w:val="4"/>
        </w:numPr>
        <w:tabs>
          <w:tab w:val="left" w:pos="5245"/>
        </w:tabs>
        <w:ind w:firstLineChars="0"/>
        <w:jc w:val="left"/>
        <w:rPr>
          <w:lang w:eastAsia="zh-CN"/>
        </w:rPr>
      </w:pPr>
      <w:r>
        <w:rPr>
          <w:lang w:eastAsia="zh-CN"/>
        </w:rPr>
        <w:t xml:space="preserve">First, the UE trains the model based on the dataset and associates it with the related associated ID, if provided by the network. </w:t>
      </w:r>
    </w:p>
    <w:p w14:paraId="2AECE12C" w14:textId="77777777" w:rsidR="00302780" w:rsidRDefault="00302780" w:rsidP="004A4578">
      <w:pPr>
        <w:pStyle w:val="ListParagraph"/>
        <w:numPr>
          <w:ilvl w:val="0"/>
          <w:numId w:val="4"/>
        </w:numPr>
        <w:tabs>
          <w:tab w:val="left" w:pos="5245"/>
        </w:tabs>
        <w:ind w:firstLineChars="0"/>
        <w:jc w:val="left"/>
        <w:rPr>
          <w:lang w:eastAsia="zh-CN"/>
        </w:rPr>
      </w:pPr>
      <w:r>
        <w:rPr>
          <w:lang w:eastAsia="zh-CN"/>
        </w:rPr>
        <w:t>The UE reports the applicable functionality to the NW, which may be associated with the NW-side additional condition identified by</w:t>
      </w:r>
      <w:r>
        <w:rPr>
          <w:rFonts w:hint="eastAsia"/>
          <w:lang w:eastAsia="zh-CN"/>
        </w:rPr>
        <w:t xml:space="preserve"> </w:t>
      </w:r>
      <w:r>
        <w:rPr>
          <w:lang w:eastAsia="zh-CN"/>
        </w:rPr>
        <w:t>the associated ID.</w:t>
      </w:r>
    </w:p>
    <w:p w14:paraId="34C4954E" w14:textId="3C1C7347" w:rsidR="00302780" w:rsidRPr="00302780" w:rsidRDefault="00302780" w:rsidP="004A4578">
      <w:pPr>
        <w:pStyle w:val="ListParagraph"/>
        <w:numPr>
          <w:ilvl w:val="0"/>
          <w:numId w:val="4"/>
        </w:numPr>
        <w:tabs>
          <w:tab w:val="left" w:pos="5245"/>
        </w:tabs>
        <w:ind w:firstLineChars="0"/>
        <w:jc w:val="left"/>
        <w:rPr>
          <w:rFonts w:eastAsia="Calibri"/>
        </w:rPr>
      </w:pPr>
      <w:r>
        <w:rPr>
          <w:lang w:eastAsia="zh-CN"/>
        </w:rPr>
        <w:t>NW selects the</w:t>
      </w:r>
      <w:r w:rsidRPr="00652E77">
        <w:rPr>
          <w:lang w:eastAsia="zh-CN"/>
        </w:rPr>
        <w:t xml:space="preserve"> </w:t>
      </w:r>
      <w:r>
        <w:rPr>
          <w:lang w:eastAsia="zh-CN"/>
        </w:rPr>
        <w:t xml:space="preserve">applicable functionality and determines the inference configuration based on the </w:t>
      </w:r>
      <w:r w:rsidRPr="00C6198B">
        <w:rPr>
          <w:lang w:eastAsia="zh-CN"/>
        </w:rPr>
        <w:t>NW-side additional condition</w:t>
      </w:r>
      <w:r>
        <w:rPr>
          <w:lang w:eastAsia="zh-CN"/>
        </w:rPr>
        <w:t>.</w:t>
      </w:r>
    </w:p>
    <w:p w14:paraId="2104C88F" w14:textId="77777777" w:rsidR="00D455A0" w:rsidRDefault="00302780" w:rsidP="005C2ED6">
      <w:pPr>
        <w:rPr>
          <w:rFonts w:eastAsia="Calibri"/>
        </w:rPr>
      </w:pPr>
      <w:r>
        <w:rPr>
          <w:rFonts w:eastAsia="Calibri"/>
        </w:rPr>
        <w:t xml:space="preserve">In the LS [1], </w:t>
      </w:r>
      <w:r w:rsidR="00D455A0">
        <w:rPr>
          <w:rFonts w:eastAsia="Calibri"/>
        </w:rPr>
        <w:t xml:space="preserve">RAN2 asked RAN1 in </w:t>
      </w:r>
      <w:r w:rsidR="00D455A0" w:rsidRPr="00D455A0">
        <w:rPr>
          <w:rFonts w:eastAsia="Calibri"/>
        </w:rPr>
        <w:t>Q4-1</w:t>
      </w:r>
      <w:r w:rsidR="00D455A0">
        <w:rPr>
          <w:rFonts w:eastAsia="Calibri"/>
        </w:rPr>
        <w:t xml:space="preserve"> that</w:t>
      </w:r>
      <w:r w:rsidR="00D455A0" w:rsidRPr="00D455A0">
        <w:rPr>
          <w:rFonts w:eastAsia="Calibri"/>
        </w:rPr>
        <w:t xml:space="preserve">: </w:t>
      </w:r>
    </w:p>
    <w:tbl>
      <w:tblPr>
        <w:tblStyle w:val="TableGrid"/>
        <w:tblW w:w="0" w:type="auto"/>
        <w:tblLook w:val="04A0" w:firstRow="1" w:lastRow="0" w:firstColumn="1" w:lastColumn="0" w:noHBand="0" w:noVBand="1"/>
      </w:tblPr>
      <w:tblGrid>
        <w:gridCol w:w="9307"/>
      </w:tblGrid>
      <w:tr w:rsidR="00D455A0" w14:paraId="30714244" w14:textId="77777777" w:rsidTr="00D455A0">
        <w:tc>
          <w:tcPr>
            <w:tcW w:w="9307" w:type="dxa"/>
          </w:tcPr>
          <w:p w14:paraId="311291D4" w14:textId="3093EF1B" w:rsidR="00D455A0" w:rsidRPr="00D455A0" w:rsidRDefault="00D455A0" w:rsidP="004A4578">
            <w:pPr>
              <w:pStyle w:val="Doc-text2"/>
              <w:numPr>
                <w:ilvl w:val="1"/>
                <w:numId w:val="6"/>
              </w:numPr>
              <w:tabs>
                <w:tab w:val="clear" w:pos="1622"/>
                <w:tab w:val="left" w:pos="2160"/>
              </w:tabs>
              <w:spacing w:after="240"/>
              <w:ind w:left="454"/>
              <w:rPr>
                <w:rFonts w:ascii="Times New Roman" w:hAnsi="Times New Roman"/>
              </w:rPr>
            </w:pPr>
            <w:r w:rsidRPr="00DE2EC9">
              <w:rPr>
                <w:rFonts w:ascii="Times New Roman" w:hAnsi="Times New Roman"/>
              </w:rPr>
              <w:t>Q</w:t>
            </w:r>
            <w:r>
              <w:rPr>
                <w:rFonts w:ascii="Times New Roman" w:hAnsi="Times New Roman"/>
              </w:rPr>
              <w:t>4</w:t>
            </w:r>
            <w:r w:rsidRPr="00DE2EC9">
              <w:rPr>
                <w:rFonts w:ascii="Times New Roman" w:hAnsi="Times New Roman"/>
              </w:rPr>
              <w:t xml:space="preserve">-1: </w:t>
            </w:r>
            <w:r w:rsidRPr="00E511E5">
              <w:rPr>
                <w:rFonts w:ascii="Times New Roman" w:hAnsi="Times New Roman"/>
                <w:lang w:val="en-US"/>
              </w:rPr>
              <w:t xml:space="preserve">In RAN2, it is FFS whether NW-side additional condition is mandatory or optional. In order to discuss further, RAN2 would like to understand </w:t>
            </w:r>
            <w:r w:rsidRPr="00E511E5">
              <w:rPr>
                <w:rFonts w:ascii="Times New Roman" w:hAnsi="Times New Roman"/>
                <w:szCs w:val="20"/>
              </w:rPr>
              <w:t>whether</w:t>
            </w:r>
            <w:r w:rsidRPr="00DE2EC9">
              <w:rPr>
                <w:rFonts w:ascii="Calibri" w:hAnsi="Calibri" w:cs="Calibri"/>
                <w:szCs w:val="20"/>
              </w:rPr>
              <w:t xml:space="preserve"> </w:t>
            </w:r>
            <w:r w:rsidRPr="00DE2EC9">
              <w:rPr>
                <w:rFonts w:ascii="Times New Roman" w:hAnsi="Times New Roman"/>
              </w:rPr>
              <w:t xml:space="preserve">it is feasible for UE to decide the applicable functionalities without NW-side additional condition? </w:t>
            </w:r>
          </w:p>
        </w:tc>
      </w:tr>
    </w:tbl>
    <w:p w14:paraId="01AFCB5A" w14:textId="6B0209FB" w:rsidR="004E3F15" w:rsidRDefault="004E3F15" w:rsidP="005C2ED6">
      <w:pPr>
        <w:rPr>
          <w:rFonts w:eastAsiaTheme="minorEastAsia"/>
          <w:lang w:eastAsia="zh-CN"/>
        </w:rPr>
      </w:pPr>
      <w:r>
        <w:rPr>
          <w:rFonts w:eastAsiaTheme="minorEastAsia"/>
          <w:lang w:eastAsia="zh-CN"/>
        </w:rPr>
        <w:t>Based on the reply of Q4-1 below and agreement in RAN1 #119 above:</w:t>
      </w:r>
    </w:p>
    <w:tbl>
      <w:tblPr>
        <w:tblStyle w:val="10"/>
        <w:tblW w:w="0" w:type="auto"/>
        <w:tblLook w:val="04A0" w:firstRow="1" w:lastRow="0" w:firstColumn="1" w:lastColumn="0" w:noHBand="0" w:noVBand="1"/>
      </w:tblPr>
      <w:tblGrid>
        <w:gridCol w:w="9307"/>
      </w:tblGrid>
      <w:tr w:rsidR="004E3F15" w14:paraId="11DA06DE" w14:textId="77777777" w:rsidTr="004E3F15">
        <w:tc>
          <w:tcPr>
            <w:tcW w:w="9307" w:type="dxa"/>
          </w:tcPr>
          <w:p w14:paraId="4DA36EAF" w14:textId="5E05E98F" w:rsidR="004E3F15" w:rsidRPr="004E3F15" w:rsidRDefault="004E3F15" w:rsidP="004E3F15">
            <w:pPr>
              <w:pStyle w:val="CommentText"/>
              <w:spacing w:line="276" w:lineRule="auto"/>
              <w:rPr>
                <w:rFonts w:eastAsia="Malgun Gothic" w:cs="Arial"/>
                <w:b/>
                <w:bCs/>
                <w:sz w:val="18"/>
                <w:szCs w:val="18"/>
                <w:lang w:eastAsia="ko-KR"/>
              </w:rPr>
            </w:pPr>
            <w:r w:rsidRPr="00B75479">
              <w:rPr>
                <w:rFonts w:cs="Arial"/>
                <w:b/>
                <w:bCs/>
                <w:sz w:val="18"/>
                <w:szCs w:val="18"/>
              </w:rPr>
              <w:t xml:space="preserve">Answer to Q4-1: </w:t>
            </w:r>
            <w:r w:rsidRPr="00B75479">
              <w:rPr>
                <w:rFonts w:cs="Arial"/>
                <w:sz w:val="18"/>
                <w:szCs w:val="18"/>
              </w:rPr>
              <w:t xml:space="preserve">There is no consensus yet on whether it is mandatory or optional. There is no conclusion yet on whether it is feasible or not for UE to decide the applicability without NW-side additional condition, and RAN 1 is discussing the related issues. </w:t>
            </w:r>
          </w:p>
        </w:tc>
      </w:tr>
    </w:tbl>
    <w:p w14:paraId="4B6E61B6" w14:textId="37377872" w:rsidR="004E3F15" w:rsidRDefault="004E3F15" w:rsidP="00B61488">
      <w:pPr>
        <w:rPr>
          <w:rFonts w:eastAsia="Calibri"/>
        </w:rPr>
      </w:pPr>
      <w:r>
        <w:rPr>
          <w:rFonts w:eastAsia="Calibri"/>
        </w:rPr>
        <w:t>T</w:t>
      </w:r>
      <w:r w:rsidR="00FA2BA2">
        <w:rPr>
          <w:rFonts w:eastAsia="Calibri"/>
        </w:rPr>
        <w:t xml:space="preserve">he </w:t>
      </w:r>
      <w:r w:rsidR="00FA2BA2" w:rsidRPr="00E511E5">
        <w:t>NW-side additional condition</w:t>
      </w:r>
      <w:r w:rsidR="00FA2BA2">
        <w:t xml:space="preserve"> can be indicated in step 3 optionally</w:t>
      </w:r>
      <w:r>
        <w:t xml:space="preserve"> in two options</w:t>
      </w:r>
      <w:r w:rsidR="00907E1D">
        <w:t xml:space="preserve"> depending on the Direction A and B</w:t>
      </w:r>
      <w:r w:rsidR="00FA2BA2">
        <w:rPr>
          <w:rFonts w:eastAsia="Calibri"/>
        </w:rPr>
        <w:t>.</w:t>
      </w:r>
    </w:p>
    <w:p w14:paraId="0CDAA21D" w14:textId="655A27FA" w:rsidR="004E3F15" w:rsidRDefault="004E3F15" w:rsidP="00B61488">
      <w:pPr>
        <w:rPr>
          <w:rFonts w:eastAsiaTheme="minorEastAsia"/>
          <w:lang w:eastAsia="zh-CN"/>
        </w:rPr>
      </w:pPr>
      <w:r>
        <w:rPr>
          <w:rFonts w:eastAsiaTheme="minorEastAsia" w:hint="eastAsia"/>
          <w:lang w:eastAsia="zh-CN"/>
        </w:rPr>
        <w:t>O</w:t>
      </w:r>
      <w:r>
        <w:rPr>
          <w:rFonts w:eastAsiaTheme="minorEastAsia"/>
          <w:lang w:eastAsia="zh-CN"/>
        </w:rPr>
        <w:t>ption1</w:t>
      </w:r>
      <w:r w:rsidR="00907E1D">
        <w:rPr>
          <w:rFonts w:eastAsiaTheme="minorEastAsia"/>
          <w:lang w:eastAsia="zh-CN"/>
        </w:rPr>
        <w:t xml:space="preserve"> (for Direction A)</w:t>
      </w:r>
      <w:r>
        <w:rPr>
          <w:rFonts w:eastAsiaTheme="minorEastAsia"/>
          <w:lang w:eastAsia="zh-CN"/>
        </w:rPr>
        <w:t xml:space="preserve">: associated ID </w:t>
      </w:r>
      <w:r w:rsidR="00907E1D">
        <w:rPr>
          <w:rFonts w:eastAsiaTheme="minorEastAsia"/>
          <w:lang w:eastAsia="zh-CN"/>
        </w:rPr>
        <w:t>may be</w:t>
      </w:r>
      <w:r>
        <w:rPr>
          <w:rFonts w:eastAsiaTheme="minorEastAsia"/>
          <w:lang w:eastAsia="zh-CN"/>
        </w:rPr>
        <w:t xml:space="preserve"> added in existing L1 CSI-RS framework </w:t>
      </w:r>
    </w:p>
    <w:p w14:paraId="3C4DE48D" w14:textId="4EBC8F71" w:rsidR="004E3F15" w:rsidRPr="004E3F15" w:rsidRDefault="004E3F15" w:rsidP="00B61488">
      <w:pPr>
        <w:rPr>
          <w:rFonts w:eastAsiaTheme="minorEastAsia"/>
          <w:lang w:eastAsia="zh-CN"/>
        </w:rPr>
      </w:pPr>
      <w:r>
        <w:rPr>
          <w:rFonts w:eastAsiaTheme="minorEastAsia"/>
          <w:lang w:eastAsia="zh-CN"/>
        </w:rPr>
        <w:t>Option2</w:t>
      </w:r>
      <w:r w:rsidR="00907E1D">
        <w:rPr>
          <w:rFonts w:eastAsiaTheme="minorEastAsia"/>
          <w:lang w:eastAsia="zh-CN"/>
        </w:rPr>
        <w:t xml:space="preserve"> (for Direction B)</w:t>
      </w:r>
      <w:r>
        <w:rPr>
          <w:rFonts w:eastAsiaTheme="minorEastAsia"/>
          <w:lang w:eastAsia="zh-CN"/>
        </w:rPr>
        <w:t xml:space="preserve">: associated ID </w:t>
      </w:r>
      <w:r w:rsidR="00907E1D">
        <w:rPr>
          <w:rFonts w:eastAsiaTheme="minorEastAsia"/>
          <w:lang w:eastAsia="zh-CN"/>
        </w:rPr>
        <w:t>may be</w:t>
      </w:r>
      <w:r>
        <w:rPr>
          <w:rFonts w:eastAsiaTheme="minorEastAsia"/>
          <w:lang w:eastAsia="zh-CN"/>
        </w:rPr>
        <w:t xml:space="preserve"> added in RRC IE</w:t>
      </w:r>
      <w:r>
        <w:rPr>
          <w:rFonts w:eastAsiaTheme="minorEastAsia" w:hint="eastAsia"/>
          <w:lang w:eastAsia="zh-CN"/>
        </w:rPr>
        <w:t>.</w:t>
      </w:r>
      <w:r>
        <w:rPr>
          <w:rFonts w:eastAsiaTheme="minorEastAsia"/>
          <w:lang w:eastAsia="zh-CN"/>
        </w:rPr>
        <w:t xml:space="preserve"> e.g., in </w:t>
      </w:r>
      <w:proofErr w:type="spellStart"/>
      <w:r w:rsidR="0018342E" w:rsidRPr="0018342E">
        <w:rPr>
          <w:rFonts w:eastAsiaTheme="minorEastAsia"/>
          <w:i/>
          <w:iCs/>
          <w:lang w:eastAsia="zh-CN"/>
        </w:rPr>
        <w:t>O</w:t>
      </w:r>
      <w:r w:rsidRPr="0018342E">
        <w:rPr>
          <w:rFonts w:eastAsiaTheme="minorEastAsia"/>
          <w:i/>
          <w:iCs/>
          <w:lang w:eastAsia="zh-CN"/>
        </w:rPr>
        <w:t>ther</w:t>
      </w:r>
      <w:r w:rsidR="0018342E" w:rsidRPr="0018342E">
        <w:rPr>
          <w:rFonts w:eastAsiaTheme="minorEastAsia"/>
          <w:i/>
          <w:iCs/>
          <w:lang w:eastAsia="zh-CN"/>
        </w:rPr>
        <w:t>C</w:t>
      </w:r>
      <w:r w:rsidRPr="0018342E">
        <w:rPr>
          <w:rFonts w:eastAsiaTheme="minorEastAsia"/>
          <w:i/>
          <w:iCs/>
          <w:lang w:eastAsia="zh-CN"/>
        </w:rPr>
        <w:t>onfig</w:t>
      </w:r>
      <w:proofErr w:type="spellEnd"/>
      <w:r>
        <w:rPr>
          <w:rFonts w:eastAsiaTheme="minorEastAsia"/>
          <w:lang w:eastAsia="zh-CN"/>
        </w:rPr>
        <w:t xml:space="preserve"> or outside L1 CSI-RS framework.</w:t>
      </w:r>
    </w:p>
    <w:p w14:paraId="2699C769" w14:textId="17D19CB4" w:rsidR="00B61488" w:rsidRDefault="00391F7A" w:rsidP="00B61488">
      <w:pPr>
        <w:rPr>
          <w:rFonts w:eastAsia="Calibri"/>
        </w:rPr>
      </w:pPr>
      <w:r>
        <w:rPr>
          <w:rFonts w:eastAsia="Calibri"/>
        </w:rPr>
        <w:t>For Option 2</w:t>
      </w:r>
      <w:r w:rsidR="00907E1D">
        <w:rPr>
          <w:rFonts w:eastAsia="Calibri"/>
        </w:rPr>
        <w:t xml:space="preserve"> (for Direction B)</w:t>
      </w:r>
      <w:r>
        <w:rPr>
          <w:rFonts w:eastAsia="Calibri"/>
        </w:rPr>
        <w:t xml:space="preserve">, the associated ID can also be optionally indicated by the UE to the NW in Step 4. </w:t>
      </w:r>
      <w:r w:rsidR="00B61488" w:rsidRPr="00B61488">
        <w:rPr>
          <w:rFonts w:eastAsia="Calibri"/>
        </w:rPr>
        <w:t xml:space="preserve">In our view, associated ID is optional for the whole LCM process, </w:t>
      </w:r>
      <w:r w:rsidR="0018342E" w:rsidRPr="00B61488">
        <w:rPr>
          <w:rFonts w:eastAsia="Calibri"/>
        </w:rPr>
        <w:t>i.e.,</w:t>
      </w:r>
      <w:r w:rsidR="00B61488" w:rsidRPr="00B61488">
        <w:rPr>
          <w:rFonts w:eastAsia="Calibri"/>
        </w:rPr>
        <w:t xml:space="preserve"> even for training phase the </w:t>
      </w:r>
      <w:r w:rsidR="00B61488" w:rsidRPr="00B61488">
        <w:rPr>
          <w:rFonts w:eastAsia="Calibri"/>
        </w:rPr>
        <w:lastRenderedPageBreak/>
        <w:t>NW might not provide it and the UE should still be able to determine the applicability of the functionality based on implementation, but this needs to be con</w:t>
      </w:r>
      <w:r w:rsidR="00907E1D">
        <w:rPr>
          <w:rFonts w:eastAsia="Calibri"/>
        </w:rPr>
        <w:t>cluded</w:t>
      </w:r>
      <w:r w:rsidR="00B61488" w:rsidRPr="00B61488">
        <w:rPr>
          <w:rFonts w:eastAsia="Calibri"/>
        </w:rPr>
        <w:t xml:space="preserve"> by RAN1 based on the above</w:t>
      </w:r>
      <w:r w:rsidR="00907E1D">
        <w:rPr>
          <w:rFonts w:eastAsia="Calibri"/>
        </w:rPr>
        <w:t xml:space="preserve"> reply from RAN1</w:t>
      </w:r>
      <w:r w:rsidR="00B61488" w:rsidRPr="00B61488">
        <w:rPr>
          <w:rFonts w:eastAsia="Calibri"/>
        </w:rPr>
        <w:t xml:space="preserve">. </w:t>
      </w:r>
    </w:p>
    <w:p w14:paraId="330DBB02" w14:textId="58E79486" w:rsidR="00FA2BA2" w:rsidRPr="005436D9" w:rsidRDefault="00FA2BA2" w:rsidP="00B61488">
      <w:pPr>
        <w:rPr>
          <w:rFonts w:eastAsia="Calibri"/>
          <w:b/>
          <w:bCs/>
        </w:rPr>
      </w:pPr>
      <w:r w:rsidRPr="005436D9">
        <w:rPr>
          <w:rFonts w:eastAsia="Calibri"/>
          <w:b/>
          <w:bCs/>
        </w:rPr>
        <w:t>Observation#</w:t>
      </w:r>
      <w:r w:rsidR="0018342E" w:rsidRPr="005436D9">
        <w:rPr>
          <w:rFonts w:eastAsia="Calibri"/>
          <w:b/>
          <w:bCs/>
        </w:rPr>
        <w:t>2</w:t>
      </w:r>
      <w:r w:rsidR="00257012" w:rsidRPr="005436D9">
        <w:rPr>
          <w:rFonts w:eastAsia="Calibri"/>
          <w:b/>
          <w:bCs/>
        </w:rPr>
        <w:t xml:space="preserve">: </w:t>
      </w:r>
      <w:r w:rsidR="00257012" w:rsidRPr="0018342E">
        <w:rPr>
          <w:rFonts w:eastAsia="Calibri"/>
          <w:b/>
          <w:bCs/>
        </w:rPr>
        <w:t>Based on the RAN1</w:t>
      </w:r>
      <w:r w:rsidR="00391F7A" w:rsidRPr="0018342E">
        <w:rPr>
          <w:rFonts w:eastAsia="Calibri"/>
          <w:b/>
          <w:bCs/>
        </w:rPr>
        <w:t xml:space="preserve">’s </w:t>
      </w:r>
      <w:r w:rsidR="004E3F15" w:rsidRPr="0018342E">
        <w:rPr>
          <w:rFonts w:eastAsia="Calibri"/>
          <w:b/>
          <w:bCs/>
        </w:rPr>
        <w:t xml:space="preserve">agreement for </w:t>
      </w:r>
      <w:r w:rsidR="00907E1D">
        <w:rPr>
          <w:rFonts w:eastAsia="Calibri"/>
          <w:b/>
          <w:bCs/>
        </w:rPr>
        <w:t>Direction A and B</w:t>
      </w:r>
      <w:r w:rsidR="00391F7A" w:rsidRPr="0018342E">
        <w:rPr>
          <w:rFonts w:eastAsia="Calibri"/>
          <w:b/>
          <w:bCs/>
        </w:rPr>
        <w:t xml:space="preserve">, the NW-side additional condition can be indicated in Step 3 optionally. For </w:t>
      </w:r>
      <w:r w:rsidR="00907E1D">
        <w:rPr>
          <w:rFonts w:eastAsia="Calibri"/>
          <w:b/>
          <w:bCs/>
        </w:rPr>
        <w:t>Direction B</w:t>
      </w:r>
      <w:r w:rsidR="00391F7A" w:rsidRPr="0018342E">
        <w:rPr>
          <w:rFonts w:eastAsia="Calibri"/>
          <w:b/>
          <w:bCs/>
        </w:rPr>
        <w:t>, the associated ID can also be optionally indicated by the UE to the NW in Step 4.</w:t>
      </w:r>
    </w:p>
    <w:p w14:paraId="20E80C7B" w14:textId="4739CCF8" w:rsidR="005304E6" w:rsidRPr="008E11B7" w:rsidRDefault="00391F7A" w:rsidP="00B61488">
      <w:pPr>
        <w:rPr>
          <w:rFonts w:eastAsia="Calibri"/>
        </w:rPr>
      </w:pPr>
      <w:r>
        <w:rPr>
          <w:rFonts w:eastAsia="Calibri"/>
        </w:rPr>
        <w:t>Based on Observation#</w:t>
      </w:r>
      <w:r w:rsidR="00907E1D">
        <w:rPr>
          <w:rFonts w:eastAsia="Calibri"/>
        </w:rPr>
        <w:t>2</w:t>
      </w:r>
      <w:r w:rsidR="00B61488">
        <w:rPr>
          <w:rFonts w:eastAsia="Calibri"/>
        </w:rPr>
        <w:t xml:space="preserve">, </w:t>
      </w:r>
      <w:r>
        <w:rPr>
          <w:rFonts w:eastAsia="Calibri"/>
        </w:rPr>
        <w:t>t</w:t>
      </w:r>
      <w:r w:rsidR="005C2ED6" w:rsidRPr="008E11B7">
        <w:rPr>
          <w:rFonts w:eastAsia="Calibri"/>
        </w:rPr>
        <w:t xml:space="preserve">he UE </w:t>
      </w:r>
      <w:r w:rsidR="005F07D5" w:rsidRPr="008E11B7">
        <w:rPr>
          <w:rFonts w:eastAsia="Calibri"/>
        </w:rPr>
        <w:t xml:space="preserve">reporting behavior can be as follows </w:t>
      </w:r>
      <w:r w:rsidR="003B04E9" w:rsidRPr="008E11B7">
        <w:rPr>
          <w:rFonts w:eastAsia="Calibri"/>
        </w:rPr>
        <w:t>depending on whether</w:t>
      </w:r>
      <w:r w:rsidR="005F07D5" w:rsidRPr="008E11B7">
        <w:rPr>
          <w:rFonts w:eastAsia="Calibri"/>
        </w:rPr>
        <w:t xml:space="preserve"> the network indicates or not the NW-side additional condition</w:t>
      </w:r>
      <w:r w:rsidR="003B04E9" w:rsidRPr="008E11B7">
        <w:rPr>
          <w:rFonts w:eastAsia="Calibri"/>
        </w:rPr>
        <w:t xml:space="preserve"> in </w:t>
      </w:r>
      <w:r>
        <w:rPr>
          <w:rFonts w:eastAsia="Calibri"/>
        </w:rPr>
        <w:t>S</w:t>
      </w:r>
      <w:r w:rsidR="003B04E9" w:rsidRPr="008E11B7">
        <w:rPr>
          <w:rFonts w:eastAsia="Calibri"/>
        </w:rPr>
        <w:t>tep 3</w:t>
      </w:r>
      <w:r>
        <w:rPr>
          <w:rFonts w:eastAsia="Calibri"/>
        </w:rPr>
        <w:t xml:space="preserve"> in all options or whether the UE indicates back or not in Step 4 for Options 2:</w:t>
      </w:r>
    </w:p>
    <w:p w14:paraId="72E4BC60" w14:textId="5D2D38B9" w:rsidR="007D603F" w:rsidRPr="00B61488" w:rsidRDefault="00391F7A" w:rsidP="004A4578">
      <w:pPr>
        <w:pStyle w:val="ListParagraph"/>
        <w:numPr>
          <w:ilvl w:val="0"/>
          <w:numId w:val="8"/>
        </w:numPr>
        <w:ind w:firstLineChars="0"/>
        <w:rPr>
          <w:rFonts w:eastAsia="Calibri"/>
        </w:rPr>
      </w:pPr>
      <w:r>
        <w:rPr>
          <w:rFonts w:eastAsia="Calibri"/>
          <w:b/>
        </w:rPr>
        <w:t>C</w:t>
      </w:r>
      <w:r w:rsidR="00B61488" w:rsidRPr="00203593">
        <w:rPr>
          <w:rFonts w:eastAsia="Calibri"/>
          <w:b/>
        </w:rPr>
        <w:t>ase 1</w:t>
      </w:r>
      <w:r w:rsidR="00B61488">
        <w:rPr>
          <w:rFonts w:eastAsia="Calibri"/>
        </w:rPr>
        <w:t xml:space="preserve">: </w:t>
      </w:r>
      <w:r w:rsidR="005F07D5" w:rsidRPr="00B61488">
        <w:rPr>
          <w:rFonts w:eastAsia="Calibri"/>
        </w:rPr>
        <w:t>If the network indicates the associated ID, the network can indicate the network-side addition</w:t>
      </w:r>
      <w:r w:rsidR="00A5598B" w:rsidRPr="00B61488">
        <w:rPr>
          <w:rFonts w:eastAsia="Calibri"/>
        </w:rPr>
        <w:t>al</w:t>
      </w:r>
      <w:r w:rsidR="005F07D5" w:rsidRPr="00B61488">
        <w:rPr>
          <w:rFonts w:eastAsia="Calibri"/>
        </w:rPr>
        <w:t xml:space="preserve"> condition it </w:t>
      </w:r>
      <w:r w:rsidR="008E5044" w:rsidRPr="00B61488">
        <w:rPr>
          <w:rFonts w:eastAsia="Calibri"/>
        </w:rPr>
        <w:t xml:space="preserve">is </w:t>
      </w:r>
      <w:r w:rsidR="005F07D5" w:rsidRPr="00B61488">
        <w:rPr>
          <w:rFonts w:eastAsia="Calibri"/>
        </w:rPr>
        <w:t>interest</w:t>
      </w:r>
      <w:r w:rsidR="008E5044" w:rsidRPr="00B61488">
        <w:rPr>
          <w:rFonts w:eastAsia="Calibri"/>
        </w:rPr>
        <w:t>ed</w:t>
      </w:r>
      <w:r w:rsidR="002B64D2" w:rsidRPr="00B61488">
        <w:rPr>
          <w:rFonts w:eastAsia="Calibri"/>
        </w:rPr>
        <w:t xml:space="preserve"> in</w:t>
      </w:r>
      <w:r w:rsidR="005F07D5" w:rsidRPr="00B61488">
        <w:rPr>
          <w:rFonts w:eastAsia="Calibri"/>
        </w:rPr>
        <w:t xml:space="preserve">. </w:t>
      </w:r>
      <w:r w:rsidR="0093316C" w:rsidRPr="00B61488">
        <w:rPr>
          <w:rFonts w:eastAsia="Calibri"/>
        </w:rPr>
        <w:t>In this case, t</w:t>
      </w:r>
      <w:r w:rsidR="005F07D5" w:rsidRPr="00B61488">
        <w:rPr>
          <w:rFonts w:eastAsia="Calibri"/>
        </w:rPr>
        <w:t>he UE report</w:t>
      </w:r>
      <w:r w:rsidR="0093316C" w:rsidRPr="00B61488">
        <w:rPr>
          <w:rFonts w:eastAsia="Calibri"/>
        </w:rPr>
        <w:t>s only</w:t>
      </w:r>
      <w:r w:rsidR="005F07D5" w:rsidRPr="00B61488">
        <w:rPr>
          <w:rFonts w:eastAsia="Calibri"/>
        </w:rPr>
        <w:t xml:space="preserve"> the applicable functionalit</w:t>
      </w:r>
      <w:r w:rsidR="0093316C" w:rsidRPr="00B61488">
        <w:rPr>
          <w:rFonts w:eastAsia="Calibri"/>
        </w:rPr>
        <w:t>ies</w:t>
      </w:r>
      <w:r w:rsidR="005F07D5" w:rsidRPr="00B61488">
        <w:rPr>
          <w:rFonts w:eastAsia="Calibri"/>
        </w:rPr>
        <w:t xml:space="preserve"> corresponding to the indicated associated ID</w:t>
      </w:r>
      <w:r w:rsidR="0093316C" w:rsidRPr="00B61488">
        <w:rPr>
          <w:rFonts w:eastAsia="Calibri"/>
        </w:rPr>
        <w:t>(s)</w:t>
      </w:r>
      <w:r w:rsidR="005F07D5" w:rsidRPr="00B61488">
        <w:rPr>
          <w:rFonts w:eastAsia="Calibri"/>
        </w:rPr>
        <w:t xml:space="preserve">. </w:t>
      </w:r>
    </w:p>
    <w:p w14:paraId="281454BB" w14:textId="2AE5FFF4" w:rsidR="005F07D5" w:rsidRPr="005F07D5" w:rsidRDefault="00391F7A" w:rsidP="004A4578">
      <w:pPr>
        <w:pStyle w:val="ListParagraph"/>
        <w:numPr>
          <w:ilvl w:val="0"/>
          <w:numId w:val="8"/>
        </w:numPr>
        <w:ind w:firstLineChars="0"/>
        <w:rPr>
          <w:lang w:eastAsia="zh-CN"/>
        </w:rPr>
      </w:pPr>
      <w:r>
        <w:rPr>
          <w:rFonts w:eastAsia="Calibri"/>
          <w:b/>
        </w:rPr>
        <w:t>C</w:t>
      </w:r>
      <w:r w:rsidR="00B61488" w:rsidRPr="00203593">
        <w:rPr>
          <w:rFonts w:eastAsia="Calibri"/>
          <w:b/>
        </w:rPr>
        <w:t>ase 2</w:t>
      </w:r>
      <w:r w:rsidR="00B61488">
        <w:rPr>
          <w:rFonts w:eastAsia="Calibri"/>
        </w:rPr>
        <w:t xml:space="preserve">: </w:t>
      </w:r>
      <w:r w:rsidR="005F07D5" w:rsidRPr="00A5598B">
        <w:rPr>
          <w:rFonts w:eastAsia="Calibri"/>
        </w:rPr>
        <w:t xml:space="preserve">If the network does not indicate the associated ID, </w:t>
      </w:r>
      <w:r w:rsidR="005F07D5">
        <w:rPr>
          <w:lang w:eastAsia="zh-CN"/>
        </w:rPr>
        <w:t xml:space="preserve">the UE </w:t>
      </w:r>
      <w:r w:rsidR="006C7EB5">
        <w:rPr>
          <w:lang w:eastAsia="zh-CN"/>
        </w:rPr>
        <w:t>can determine which of the functionalities are applicable from UE perspective considering model availability and UE side additional conditions and report those functionalities together with the corresponding</w:t>
      </w:r>
      <w:r w:rsidR="005F07D5">
        <w:rPr>
          <w:lang w:eastAsia="zh-CN"/>
        </w:rPr>
        <w:t xml:space="preserve"> associated IDs</w:t>
      </w:r>
      <w:r w:rsidR="006C7EB5">
        <w:rPr>
          <w:lang w:eastAsia="zh-CN"/>
        </w:rPr>
        <w:t>, if available</w:t>
      </w:r>
      <w:r w:rsidR="005F07D5" w:rsidRPr="00A5598B">
        <w:rPr>
          <w:rFonts w:eastAsia="Calibri"/>
        </w:rPr>
        <w:t xml:space="preserve">. </w:t>
      </w:r>
      <w:r w:rsidR="00757D43" w:rsidRPr="00A5598B">
        <w:rPr>
          <w:rFonts w:eastAsia="Calibri"/>
        </w:rPr>
        <w:t>Based on this, t</w:t>
      </w:r>
      <w:r w:rsidR="005F07D5" w:rsidRPr="00A5598B">
        <w:rPr>
          <w:rFonts w:eastAsia="Calibri"/>
        </w:rPr>
        <w:t xml:space="preserve">he network can select and </w:t>
      </w:r>
      <w:r w:rsidR="005F07D5" w:rsidRPr="00A5598B">
        <w:rPr>
          <w:rFonts w:eastAsia="Calibri" w:hint="eastAsia"/>
        </w:rPr>
        <w:t>configure</w:t>
      </w:r>
      <w:r w:rsidR="005F07D5" w:rsidRPr="00A5598B">
        <w:rPr>
          <w:rFonts w:eastAsia="Calibri"/>
        </w:rPr>
        <w:t xml:space="preserve"> the </w:t>
      </w:r>
      <w:r w:rsidR="00757D43" w:rsidRPr="00A5598B">
        <w:rPr>
          <w:rFonts w:eastAsia="Calibri"/>
        </w:rPr>
        <w:t xml:space="preserve">selected </w:t>
      </w:r>
      <w:r w:rsidR="005F07D5" w:rsidRPr="00A5598B">
        <w:rPr>
          <w:rFonts w:eastAsia="Calibri"/>
        </w:rPr>
        <w:t xml:space="preserve">applicable functionality </w:t>
      </w:r>
      <w:r w:rsidR="00757D43" w:rsidRPr="00A5598B">
        <w:rPr>
          <w:rFonts w:eastAsia="Calibri"/>
        </w:rPr>
        <w:t xml:space="preserve">for inference </w:t>
      </w:r>
      <w:r w:rsidR="005F07D5" w:rsidRPr="00A5598B">
        <w:rPr>
          <w:rFonts w:eastAsia="Calibri"/>
        </w:rPr>
        <w:t>according to the current network-side addition condition.</w:t>
      </w:r>
    </w:p>
    <w:p w14:paraId="36776FE2" w14:textId="5498F8F3" w:rsidR="00B61488" w:rsidRDefault="007F4F27" w:rsidP="00B61488">
      <w:pPr>
        <w:tabs>
          <w:tab w:val="left" w:pos="5245"/>
        </w:tabs>
        <w:rPr>
          <w:lang w:eastAsia="zh-CN"/>
        </w:rPr>
      </w:pPr>
      <w:r>
        <w:rPr>
          <w:lang w:eastAsia="zh-CN"/>
        </w:rPr>
        <w:t xml:space="preserve">For </w:t>
      </w:r>
      <w:r w:rsidR="00391F7A">
        <w:rPr>
          <w:lang w:eastAsia="zh-CN"/>
        </w:rPr>
        <w:t>C</w:t>
      </w:r>
      <w:r w:rsidR="00B61488">
        <w:rPr>
          <w:rFonts w:hint="eastAsia"/>
          <w:lang w:eastAsia="zh-CN"/>
        </w:rPr>
        <w:t>ase</w:t>
      </w:r>
      <w:r w:rsidR="00B61488">
        <w:rPr>
          <w:lang w:eastAsia="zh-CN"/>
        </w:rPr>
        <w:t xml:space="preserve"> 1</w:t>
      </w:r>
      <w:r>
        <w:rPr>
          <w:lang w:eastAsia="zh-CN"/>
        </w:rPr>
        <w:t>,</w:t>
      </w:r>
      <w:r w:rsidR="00C84575">
        <w:rPr>
          <w:lang w:eastAsia="zh-CN"/>
        </w:rPr>
        <w:t xml:space="preserve"> NW </w:t>
      </w:r>
      <w:r w:rsidR="0028067F">
        <w:rPr>
          <w:lang w:eastAsia="zh-CN"/>
        </w:rPr>
        <w:t xml:space="preserve">may </w:t>
      </w:r>
      <w:r w:rsidR="00C84575">
        <w:rPr>
          <w:lang w:eastAsia="zh-CN"/>
        </w:rPr>
        <w:t>indicate the interested associated ID</w:t>
      </w:r>
      <w:r w:rsidR="0028067F">
        <w:rPr>
          <w:lang w:eastAsia="zh-CN"/>
        </w:rPr>
        <w:t>s</w:t>
      </w:r>
      <w:r w:rsidR="00C84575">
        <w:rPr>
          <w:lang w:eastAsia="zh-CN"/>
        </w:rPr>
        <w:t xml:space="preserve"> when requesting </w:t>
      </w:r>
      <w:r w:rsidR="00E41013">
        <w:rPr>
          <w:lang w:eastAsia="zh-CN"/>
        </w:rPr>
        <w:t xml:space="preserve">the </w:t>
      </w:r>
      <w:r w:rsidR="00C84575">
        <w:rPr>
          <w:lang w:eastAsia="zh-CN"/>
        </w:rPr>
        <w:t>applicable functionality</w:t>
      </w:r>
      <w:r w:rsidR="00E41013">
        <w:rPr>
          <w:lang w:eastAsia="zh-CN"/>
        </w:rPr>
        <w:t xml:space="preserve"> </w:t>
      </w:r>
      <w:r w:rsidR="00A75C40">
        <w:rPr>
          <w:lang w:eastAsia="zh-CN"/>
        </w:rPr>
        <w:t>reporting</w:t>
      </w:r>
      <w:r w:rsidR="00157FDC">
        <w:rPr>
          <w:lang w:eastAsia="zh-CN"/>
        </w:rPr>
        <w:t>, and then t</w:t>
      </w:r>
      <w:r w:rsidR="00E41013">
        <w:rPr>
          <w:lang w:eastAsia="zh-CN"/>
        </w:rPr>
        <w:t xml:space="preserve">he UE only needs to report the </w:t>
      </w:r>
      <w:r w:rsidR="00E41013" w:rsidRPr="00D54CD0">
        <w:rPr>
          <w:lang w:eastAsia="zh-CN"/>
        </w:rPr>
        <w:t>applicable functionalities</w:t>
      </w:r>
      <w:r w:rsidR="00E41013">
        <w:rPr>
          <w:lang w:eastAsia="zh-CN"/>
        </w:rPr>
        <w:t xml:space="preserve"> associated with the indicated associated IDs</w:t>
      </w:r>
      <w:r w:rsidR="00E41013">
        <w:rPr>
          <w:rFonts w:hint="eastAsia"/>
          <w:lang w:eastAsia="zh-CN"/>
        </w:rPr>
        <w:t>.</w:t>
      </w:r>
      <w:r w:rsidR="00C84575">
        <w:rPr>
          <w:lang w:eastAsia="zh-CN"/>
        </w:rPr>
        <w:t xml:space="preserve"> </w:t>
      </w:r>
      <w:r w:rsidR="00203593">
        <w:rPr>
          <w:rFonts w:hint="eastAsia"/>
          <w:lang w:eastAsia="zh-CN"/>
        </w:rPr>
        <w:t>In</w:t>
      </w:r>
      <w:r w:rsidR="00203593">
        <w:rPr>
          <w:lang w:eastAsia="zh-CN"/>
        </w:rPr>
        <w:t xml:space="preserve"> this case</w:t>
      </w:r>
      <w:r w:rsidR="00C84575" w:rsidRPr="00C84575">
        <w:rPr>
          <w:lang w:eastAsia="zh-CN"/>
        </w:rPr>
        <w:t>, the UE can do the filtering</w:t>
      </w:r>
      <w:r w:rsidR="00203593">
        <w:rPr>
          <w:lang w:eastAsia="zh-CN"/>
        </w:rPr>
        <w:t xml:space="preserve"> based on the associated ID information</w:t>
      </w:r>
      <w:r w:rsidR="00203593">
        <w:rPr>
          <w:rFonts w:hint="eastAsia"/>
          <w:lang w:eastAsia="zh-CN"/>
        </w:rPr>
        <w:t>,</w:t>
      </w:r>
      <w:r w:rsidR="00203593">
        <w:rPr>
          <w:lang w:eastAsia="zh-CN"/>
        </w:rPr>
        <w:t xml:space="preserve"> so </w:t>
      </w:r>
      <w:r w:rsidR="00391F7A">
        <w:rPr>
          <w:lang w:eastAsia="zh-CN"/>
        </w:rPr>
        <w:t xml:space="preserve">that it </w:t>
      </w:r>
      <w:r w:rsidR="00203593">
        <w:rPr>
          <w:lang w:eastAsia="zh-CN"/>
        </w:rPr>
        <w:t>does not need to report all the</w:t>
      </w:r>
      <w:r w:rsidR="00203593" w:rsidRPr="00203593">
        <w:rPr>
          <w:lang w:eastAsia="zh-CN"/>
        </w:rPr>
        <w:t xml:space="preserve"> </w:t>
      </w:r>
      <w:r w:rsidR="00203593">
        <w:rPr>
          <w:lang w:eastAsia="zh-CN"/>
        </w:rPr>
        <w:t>applicable functionality information stored</w:t>
      </w:r>
      <w:r w:rsidR="00C84575" w:rsidRPr="00C84575">
        <w:rPr>
          <w:lang w:eastAsia="zh-CN"/>
        </w:rPr>
        <w:t xml:space="preserve">. </w:t>
      </w:r>
      <w:r w:rsidR="00591B84">
        <w:rPr>
          <w:lang w:eastAsia="zh-CN"/>
        </w:rPr>
        <w:t xml:space="preserve">However, if the NW-side additional condition changes to the one not requested earlier from the UE, the network will have to ask the UE to report the applicable functionalities again, with the new associated ID. </w:t>
      </w:r>
    </w:p>
    <w:p w14:paraId="63EA8183" w14:textId="0B935CCB" w:rsidR="00B61488" w:rsidRDefault="00B61488" w:rsidP="00B61488">
      <w:pPr>
        <w:tabs>
          <w:tab w:val="left" w:pos="5245"/>
        </w:tabs>
        <w:rPr>
          <w:lang w:eastAsia="zh-CN"/>
        </w:rPr>
      </w:pPr>
      <w:r>
        <w:rPr>
          <w:lang w:eastAsia="zh-CN"/>
        </w:rPr>
        <w:t xml:space="preserve">For </w:t>
      </w:r>
      <w:r w:rsidR="00391F7A">
        <w:rPr>
          <w:lang w:eastAsia="zh-CN"/>
        </w:rPr>
        <w:t>C</w:t>
      </w:r>
      <w:r>
        <w:rPr>
          <w:lang w:eastAsia="zh-CN"/>
        </w:rPr>
        <w:t>ase</w:t>
      </w:r>
      <w:r w:rsidR="00203593">
        <w:rPr>
          <w:lang w:eastAsia="zh-CN"/>
        </w:rPr>
        <w:t xml:space="preserve"> 2</w:t>
      </w:r>
      <w:r>
        <w:rPr>
          <w:lang w:eastAsia="zh-CN"/>
        </w:rPr>
        <w:t xml:space="preserve">, when the NW side additional condition changes, the NW can do an update based on the associated ID reported earlier. </w:t>
      </w:r>
      <w:r w:rsidR="00203593">
        <w:rPr>
          <w:lang w:eastAsia="zh-CN"/>
        </w:rPr>
        <w:t>However, i</w:t>
      </w:r>
      <w:r>
        <w:rPr>
          <w:rFonts w:eastAsia="Calibri"/>
        </w:rPr>
        <w:t xml:space="preserve">n some situations, </w:t>
      </w:r>
      <w:r w:rsidR="00203593">
        <w:rPr>
          <w:rFonts w:eastAsia="Calibri"/>
        </w:rPr>
        <w:t>it</w:t>
      </w:r>
      <w:r>
        <w:rPr>
          <w:rFonts w:eastAsia="Calibri"/>
        </w:rPr>
        <w:t xml:space="preserve"> may</w:t>
      </w:r>
      <w:r>
        <w:rPr>
          <w:lang w:eastAsia="zh-CN"/>
        </w:rPr>
        <w:t xml:space="preserve"> cause some signaling overhead in case the network is able to currently support only a very few NW-side additional conditions/associated IDs. For, </w:t>
      </w:r>
      <w:r w:rsidRPr="00C84575">
        <w:rPr>
          <w:lang w:eastAsia="zh-CN"/>
        </w:rPr>
        <w:t xml:space="preserve">example, if the UE has </w:t>
      </w:r>
      <w:r>
        <w:rPr>
          <w:lang w:eastAsia="zh-CN"/>
        </w:rPr>
        <w:t xml:space="preserve">applicable </w:t>
      </w:r>
      <w:r w:rsidRPr="00C84575">
        <w:rPr>
          <w:lang w:eastAsia="zh-CN"/>
        </w:rPr>
        <w:t xml:space="preserve">functionality for associated ID #1, #2, and #3, but the current NW </w:t>
      </w:r>
      <w:r>
        <w:rPr>
          <w:lang w:eastAsia="zh-CN"/>
        </w:rPr>
        <w:t>supports only ID#4</w:t>
      </w:r>
      <w:r w:rsidRPr="00C84575">
        <w:rPr>
          <w:lang w:eastAsia="zh-CN"/>
        </w:rPr>
        <w:t xml:space="preserve">, then </w:t>
      </w:r>
      <w:r>
        <w:rPr>
          <w:rFonts w:hint="eastAsia"/>
          <w:lang w:eastAsia="zh-CN"/>
        </w:rPr>
        <w:t>the</w:t>
      </w:r>
      <w:r>
        <w:rPr>
          <w:lang w:eastAsia="zh-CN"/>
        </w:rPr>
        <w:t xml:space="preserve"> UE reporting of other IDs is meaningless</w:t>
      </w:r>
      <w:r w:rsidRPr="00C84575">
        <w:rPr>
          <w:lang w:eastAsia="zh-CN"/>
        </w:rPr>
        <w:t>.</w:t>
      </w:r>
    </w:p>
    <w:p w14:paraId="48B52F0A" w14:textId="6865BF71" w:rsidR="00A75C40" w:rsidRDefault="00E41013" w:rsidP="00251ABA">
      <w:pPr>
        <w:tabs>
          <w:tab w:val="left" w:pos="5245"/>
        </w:tabs>
        <w:rPr>
          <w:lang w:eastAsia="zh-CN"/>
        </w:rPr>
      </w:pPr>
      <w:r>
        <w:rPr>
          <w:lang w:eastAsia="zh-CN"/>
        </w:rPr>
        <w:t xml:space="preserve">Based on </w:t>
      </w:r>
      <w:r w:rsidR="00CB3A77">
        <w:rPr>
          <w:lang w:eastAsia="zh-CN"/>
        </w:rPr>
        <w:t xml:space="preserve">the </w:t>
      </w:r>
      <w:r>
        <w:rPr>
          <w:lang w:eastAsia="zh-CN"/>
        </w:rPr>
        <w:t xml:space="preserve">above analysis, </w:t>
      </w:r>
      <w:r w:rsidR="0028067F">
        <w:rPr>
          <w:lang w:eastAsia="zh-CN"/>
        </w:rPr>
        <w:t xml:space="preserve">both </w:t>
      </w:r>
      <w:r w:rsidR="00391F7A">
        <w:rPr>
          <w:lang w:eastAsia="zh-CN"/>
        </w:rPr>
        <w:t>C</w:t>
      </w:r>
      <w:r w:rsidR="0050327B">
        <w:rPr>
          <w:rFonts w:hint="eastAsia"/>
          <w:lang w:eastAsia="zh-CN"/>
        </w:rPr>
        <w:t>ase</w:t>
      </w:r>
      <w:r>
        <w:rPr>
          <w:lang w:eastAsia="zh-CN"/>
        </w:rPr>
        <w:t xml:space="preserve"> 1 and </w:t>
      </w:r>
      <w:r w:rsidR="00391F7A">
        <w:rPr>
          <w:lang w:eastAsia="zh-CN"/>
        </w:rPr>
        <w:t>C</w:t>
      </w:r>
      <w:r w:rsidR="0050327B">
        <w:rPr>
          <w:lang w:eastAsia="zh-CN"/>
        </w:rPr>
        <w:t>ase</w:t>
      </w:r>
      <w:r>
        <w:rPr>
          <w:lang w:eastAsia="zh-CN"/>
        </w:rPr>
        <w:t xml:space="preserve"> 2 are </w:t>
      </w:r>
      <w:r w:rsidR="00591B84">
        <w:rPr>
          <w:lang w:eastAsia="zh-CN"/>
        </w:rPr>
        <w:t xml:space="preserve">useful </w:t>
      </w:r>
      <w:r w:rsidR="0028067F">
        <w:rPr>
          <w:lang w:eastAsia="zh-CN"/>
        </w:rPr>
        <w:t>and the choice between them will depend on the NW implementation and current NW-side additional conditions</w:t>
      </w:r>
      <w:r>
        <w:rPr>
          <w:lang w:eastAsia="zh-CN"/>
        </w:rPr>
        <w:t xml:space="preserve">. We think it </w:t>
      </w:r>
      <w:r w:rsidR="00591B84">
        <w:rPr>
          <w:lang w:eastAsia="zh-CN"/>
        </w:rPr>
        <w:t xml:space="preserve">should </w:t>
      </w:r>
      <w:r>
        <w:rPr>
          <w:lang w:eastAsia="zh-CN"/>
        </w:rPr>
        <w:t xml:space="preserve">be left to NW implementation which </w:t>
      </w:r>
      <w:r w:rsidR="00A75C40">
        <w:rPr>
          <w:lang w:eastAsia="zh-CN"/>
        </w:rPr>
        <w:t>option to use</w:t>
      </w:r>
      <w:r w:rsidR="00591B84">
        <w:rPr>
          <w:lang w:eastAsia="zh-CN"/>
        </w:rPr>
        <w:t xml:space="preserve"> at a certain time</w:t>
      </w:r>
      <w:r w:rsidR="00A75C40">
        <w:rPr>
          <w:lang w:eastAsia="zh-CN"/>
        </w:rPr>
        <w:t xml:space="preserve">. </w:t>
      </w:r>
      <w:r w:rsidR="0028067F">
        <w:rPr>
          <w:lang w:eastAsia="zh-CN"/>
        </w:rPr>
        <w:t>I</w:t>
      </w:r>
      <w:r w:rsidR="0028067F" w:rsidRPr="00A75C40">
        <w:rPr>
          <w:lang w:eastAsia="zh-CN"/>
        </w:rPr>
        <w:t xml:space="preserve">f </w:t>
      </w:r>
      <w:r w:rsidR="00A75C40" w:rsidRPr="00A75C40">
        <w:rPr>
          <w:lang w:eastAsia="zh-CN"/>
        </w:rPr>
        <w:t>the NW indicate</w:t>
      </w:r>
      <w:r w:rsidR="00A75C40">
        <w:rPr>
          <w:lang w:eastAsia="zh-CN"/>
        </w:rPr>
        <w:t>s</w:t>
      </w:r>
      <w:r w:rsidR="00A75C40" w:rsidRPr="00A75C40">
        <w:rPr>
          <w:lang w:eastAsia="zh-CN"/>
        </w:rPr>
        <w:t xml:space="preserve"> associated ID</w:t>
      </w:r>
      <w:r w:rsidR="00A75C40">
        <w:rPr>
          <w:lang w:eastAsia="zh-CN"/>
        </w:rPr>
        <w:t>(s)</w:t>
      </w:r>
      <w:r w:rsidR="00A75C40" w:rsidRPr="00A75C40">
        <w:rPr>
          <w:lang w:eastAsia="zh-CN"/>
        </w:rPr>
        <w:t xml:space="preserve"> to UE, the UE checks the indicated associated ID for </w:t>
      </w:r>
      <w:r w:rsidR="00950B97">
        <w:rPr>
          <w:lang w:eastAsia="zh-CN"/>
        </w:rPr>
        <w:t>determination of</w:t>
      </w:r>
      <w:r w:rsidR="00950B97" w:rsidRPr="00A75C40">
        <w:rPr>
          <w:lang w:eastAsia="zh-CN"/>
        </w:rPr>
        <w:t xml:space="preserve"> </w:t>
      </w:r>
      <w:r w:rsidR="00A75C40" w:rsidRPr="00A75C40">
        <w:rPr>
          <w:lang w:eastAsia="zh-CN"/>
        </w:rPr>
        <w:t xml:space="preserve">applicable functionalities; otherwise, the UE only checks UE-side additional conditions </w:t>
      </w:r>
      <w:r w:rsidR="00591B84">
        <w:rPr>
          <w:lang w:eastAsia="zh-CN"/>
        </w:rPr>
        <w:t xml:space="preserve">and model availability </w:t>
      </w:r>
      <w:r w:rsidR="00A75C40" w:rsidRPr="00A75C40">
        <w:rPr>
          <w:lang w:eastAsia="zh-CN"/>
        </w:rPr>
        <w:t xml:space="preserve">and reports </w:t>
      </w:r>
      <w:r w:rsidR="00591B84">
        <w:rPr>
          <w:lang w:eastAsia="zh-CN"/>
        </w:rPr>
        <w:t xml:space="preserve">applicable functionalities </w:t>
      </w:r>
      <w:r w:rsidR="00A75C40" w:rsidRPr="00A75C40">
        <w:rPr>
          <w:lang w:eastAsia="zh-CN"/>
        </w:rPr>
        <w:t>together with the supported associated IDs</w:t>
      </w:r>
      <w:r w:rsidR="00591B84">
        <w:rPr>
          <w:lang w:eastAsia="zh-CN"/>
        </w:rPr>
        <w:t>, if available</w:t>
      </w:r>
      <w:r w:rsidR="00A75C40">
        <w:rPr>
          <w:lang w:eastAsia="zh-CN"/>
        </w:rPr>
        <w:t>.</w:t>
      </w:r>
    </w:p>
    <w:p w14:paraId="387CF87F" w14:textId="783A3B48" w:rsidR="00674AA4" w:rsidRDefault="0001239B" w:rsidP="0001239B">
      <w:pPr>
        <w:tabs>
          <w:tab w:val="left" w:pos="5245"/>
        </w:tabs>
        <w:rPr>
          <w:b/>
          <w:lang w:eastAsia="zh-CN"/>
        </w:rPr>
      </w:pPr>
      <w:r w:rsidRPr="00A75C40">
        <w:rPr>
          <w:b/>
          <w:lang w:eastAsia="zh-CN"/>
        </w:rPr>
        <w:t xml:space="preserve">Proposal </w:t>
      </w:r>
      <w:r w:rsidR="004E3F15">
        <w:rPr>
          <w:b/>
          <w:lang w:eastAsia="zh-CN"/>
        </w:rPr>
        <w:t>2</w:t>
      </w:r>
      <w:r w:rsidRPr="00A75C40">
        <w:rPr>
          <w:rFonts w:hint="eastAsia"/>
          <w:b/>
          <w:lang w:eastAsia="zh-CN"/>
        </w:rPr>
        <w:t>:</w:t>
      </w:r>
      <w:r w:rsidR="00674AA4">
        <w:rPr>
          <w:b/>
          <w:lang w:eastAsia="zh-CN"/>
        </w:rPr>
        <w:t xml:space="preserve"> The </w:t>
      </w:r>
      <w:r w:rsidR="00674AA4" w:rsidRPr="00674AA4">
        <w:rPr>
          <w:b/>
          <w:lang w:eastAsia="zh-CN"/>
        </w:rPr>
        <w:t>NW-side additional condition is optional</w:t>
      </w:r>
      <w:r w:rsidR="00674AA4">
        <w:rPr>
          <w:b/>
          <w:lang w:eastAsia="zh-CN"/>
        </w:rPr>
        <w:t xml:space="preserve"> in Step 3. The NW can decide whethe</w:t>
      </w:r>
      <w:r w:rsidR="00674AA4">
        <w:rPr>
          <w:rFonts w:hint="eastAsia"/>
          <w:b/>
          <w:lang w:eastAsia="zh-CN"/>
        </w:rPr>
        <w:t>r</w:t>
      </w:r>
      <w:r w:rsidR="00674AA4">
        <w:rPr>
          <w:b/>
          <w:lang w:eastAsia="zh-CN"/>
        </w:rPr>
        <w:t xml:space="preserve"> to provide the </w:t>
      </w:r>
      <w:r w:rsidR="00674AA4" w:rsidRPr="00674AA4">
        <w:rPr>
          <w:b/>
          <w:lang w:eastAsia="zh-CN"/>
        </w:rPr>
        <w:t>NW-side additional condition</w:t>
      </w:r>
      <w:r w:rsidR="00674AA4">
        <w:rPr>
          <w:b/>
          <w:lang w:eastAsia="zh-CN"/>
        </w:rPr>
        <w:t xml:space="preserve"> by implementation, and the applicable functionalities determination can be supported in the following ways</w:t>
      </w:r>
      <w:r w:rsidR="00674AA4">
        <w:rPr>
          <w:rFonts w:hint="eastAsia"/>
          <w:b/>
          <w:lang w:eastAsia="zh-CN"/>
        </w:rPr>
        <w:t>:</w:t>
      </w:r>
    </w:p>
    <w:p w14:paraId="56528829" w14:textId="053A8116" w:rsidR="00254B9C" w:rsidRPr="009B3269" w:rsidRDefault="00254B9C" w:rsidP="004A4578">
      <w:pPr>
        <w:pStyle w:val="ListParagraph"/>
        <w:numPr>
          <w:ilvl w:val="0"/>
          <w:numId w:val="5"/>
        </w:numPr>
        <w:tabs>
          <w:tab w:val="left" w:pos="5245"/>
        </w:tabs>
        <w:ind w:firstLineChars="0"/>
        <w:rPr>
          <w:b/>
          <w:lang w:eastAsia="zh-CN"/>
        </w:rPr>
      </w:pPr>
      <w:r>
        <w:rPr>
          <w:b/>
          <w:lang w:eastAsia="zh-CN"/>
        </w:rPr>
        <w:t>In case the network does not provide the UE with associated IDs, the UE performs applicable functionality filtering without considering NW-side additional conditions and reports the (UE-considered) applicable functionalities together with their associated IDs</w:t>
      </w:r>
      <w:r w:rsidR="00591B84">
        <w:rPr>
          <w:b/>
          <w:lang w:eastAsia="zh-CN"/>
        </w:rPr>
        <w:t>, if available</w:t>
      </w:r>
      <w:r w:rsidRPr="009B3269">
        <w:rPr>
          <w:b/>
          <w:lang w:eastAsia="zh-CN"/>
        </w:rPr>
        <w:t>.</w:t>
      </w:r>
      <w:r>
        <w:rPr>
          <w:b/>
          <w:lang w:eastAsia="zh-CN"/>
        </w:rPr>
        <w:t xml:space="preserve"> </w:t>
      </w:r>
    </w:p>
    <w:p w14:paraId="5EAD203C" w14:textId="3076D640" w:rsidR="00754E72" w:rsidRDefault="00754E72" w:rsidP="004A4578">
      <w:pPr>
        <w:pStyle w:val="ListParagraph"/>
        <w:numPr>
          <w:ilvl w:val="0"/>
          <w:numId w:val="5"/>
        </w:numPr>
        <w:tabs>
          <w:tab w:val="left" w:pos="5245"/>
        </w:tabs>
        <w:ind w:firstLineChars="0"/>
        <w:rPr>
          <w:b/>
          <w:lang w:eastAsia="zh-CN"/>
        </w:rPr>
      </w:pPr>
      <w:r>
        <w:rPr>
          <w:b/>
          <w:lang w:eastAsia="zh-CN"/>
        </w:rPr>
        <w:t xml:space="preserve">In case the network provides the UE with </w:t>
      </w:r>
      <w:r w:rsidR="006B5971">
        <w:rPr>
          <w:b/>
          <w:lang w:eastAsia="zh-CN"/>
        </w:rPr>
        <w:t>associated IDs</w:t>
      </w:r>
      <w:r>
        <w:rPr>
          <w:b/>
          <w:lang w:eastAsia="zh-CN"/>
        </w:rPr>
        <w:t xml:space="preserve">, the UE performs applicable functionality filtering </w:t>
      </w:r>
      <w:r w:rsidR="00FE2A77">
        <w:rPr>
          <w:b/>
          <w:lang w:eastAsia="zh-CN"/>
        </w:rPr>
        <w:t xml:space="preserve">considering them </w:t>
      </w:r>
      <w:r>
        <w:rPr>
          <w:b/>
          <w:lang w:eastAsia="zh-CN"/>
        </w:rPr>
        <w:t>and only reports the functionalities meeting the NW-side additional condition.</w:t>
      </w:r>
      <w:r w:rsidR="00254B9C">
        <w:rPr>
          <w:b/>
          <w:lang w:eastAsia="zh-CN"/>
        </w:rPr>
        <w:t xml:space="preserve"> </w:t>
      </w:r>
    </w:p>
    <w:p w14:paraId="56DBBD39" w14:textId="51E3AE80" w:rsidR="00F92624" w:rsidRDefault="004B6A3A" w:rsidP="005331D2">
      <w:pPr>
        <w:pStyle w:val="Heading2"/>
        <w:rPr>
          <w:rFonts w:ascii="Arial" w:eastAsia="Times New Roman" w:hAnsi="Arial"/>
          <w:b w:val="0"/>
          <w:sz w:val="28"/>
          <w:szCs w:val="20"/>
          <w:lang w:eastAsia="en-GB"/>
        </w:rPr>
      </w:pPr>
      <w:r>
        <w:rPr>
          <w:rFonts w:ascii="Arial" w:eastAsia="Times New Roman" w:hAnsi="Arial"/>
          <w:b w:val="0"/>
          <w:sz w:val="28"/>
          <w:szCs w:val="20"/>
          <w:lang w:eastAsia="en-GB"/>
        </w:rPr>
        <w:t>A</w:t>
      </w:r>
      <w:r w:rsidR="005B3866" w:rsidRPr="005331D2">
        <w:rPr>
          <w:rFonts w:ascii="Arial" w:eastAsia="Times New Roman" w:hAnsi="Arial"/>
          <w:b w:val="0"/>
          <w:sz w:val="28"/>
          <w:szCs w:val="20"/>
          <w:lang w:eastAsia="en-GB"/>
        </w:rPr>
        <w:t>pplicable functionality</w:t>
      </w:r>
      <w:r w:rsidR="00F92624" w:rsidRPr="005331D2">
        <w:rPr>
          <w:rFonts w:ascii="Arial" w:eastAsia="Times New Roman" w:hAnsi="Arial"/>
          <w:b w:val="0"/>
          <w:sz w:val="28"/>
          <w:szCs w:val="20"/>
          <w:lang w:eastAsia="en-GB"/>
        </w:rPr>
        <w:t xml:space="preserve"> reporting</w:t>
      </w:r>
      <w:r>
        <w:rPr>
          <w:rFonts w:ascii="Arial" w:eastAsia="Times New Roman" w:hAnsi="Arial"/>
          <w:b w:val="0"/>
          <w:sz w:val="28"/>
          <w:szCs w:val="20"/>
          <w:lang w:eastAsia="en-GB"/>
        </w:rPr>
        <w:t xml:space="preserve"> procedure</w:t>
      </w:r>
    </w:p>
    <w:p w14:paraId="43FAD1A9" w14:textId="1849BEF8" w:rsidR="007C054E" w:rsidRDefault="007C054E" w:rsidP="007C054E">
      <w:pPr>
        <w:rPr>
          <w:rFonts w:eastAsia="Calibri"/>
        </w:rPr>
      </w:pPr>
      <w:r>
        <w:rPr>
          <w:lang w:eastAsia="zh-CN"/>
        </w:rPr>
        <w:t>As in the RAN1 LS, the report of applicability depends on the configuration defining the functionality in Step 3 based on Direction A) and B) as follow:</w:t>
      </w:r>
      <w:r w:rsidRPr="007C054E">
        <w:rPr>
          <w:rFonts w:eastAsia="Calibri"/>
        </w:rPr>
        <w:t xml:space="preserve"> </w:t>
      </w:r>
    </w:p>
    <w:tbl>
      <w:tblPr>
        <w:tblStyle w:val="TableGrid"/>
        <w:tblW w:w="0" w:type="auto"/>
        <w:tblLook w:val="04A0" w:firstRow="1" w:lastRow="0" w:firstColumn="1" w:lastColumn="0" w:noHBand="0" w:noVBand="1"/>
      </w:tblPr>
      <w:tblGrid>
        <w:gridCol w:w="9307"/>
      </w:tblGrid>
      <w:tr w:rsidR="007C054E" w14:paraId="2C9F2B00" w14:textId="77777777" w:rsidTr="00A75806">
        <w:tc>
          <w:tcPr>
            <w:tcW w:w="9307" w:type="dxa"/>
          </w:tcPr>
          <w:p w14:paraId="084A1AE9" w14:textId="77777777" w:rsidR="007C054E" w:rsidRDefault="007C054E" w:rsidP="00A75806">
            <w:pPr>
              <w:numPr>
                <w:ilvl w:val="0"/>
                <w:numId w:val="6"/>
              </w:numPr>
              <w:tabs>
                <w:tab w:val="left" w:pos="360"/>
              </w:tabs>
              <w:autoSpaceDE/>
              <w:autoSpaceDN/>
              <w:spacing w:after="0"/>
              <w:jc w:val="left"/>
              <w:rPr>
                <w:rFonts w:eastAsia="Times New Roman" w:cs="Times"/>
                <w:lang w:eastAsia="zh-CN"/>
              </w:rPr>
            </w:pPr>
            <w:r>
              <w:rPr>
                <w:rFonts w:eastAsia="Times New Roman" w:cs="Times"/>
                <w:lang w:eastAsia="zh-CN"/>
              </w:rPr>
              <w:t>In Step 4, UE reports applicability for all the above A) one or more </w:t>
            </w:r>
            <w:r>
              <w:rPr>
                <w:rFonts w:eastAsia="Times New Roman" w:cs="Times"/>
                <w:i/>
                <w:iCs/>
                <w:lang w:eastAsia="zh-CN"/>
              </w:rPr>
              <w:t>CSI-ReportConfig </w:t>
            </w:r>
            <w:r>
              <w:rPr>
                <w:rFonts w:eastAsia="Times New Roman" w:cs="Times"/>
                <w:lang w:eastAsia="zh-CN"/>
              </w:rPr>
              <w:t>and/or B) set(s) of inference related parameters </w:t>
            </w:r>
          </w:p>
          <w:p w14:paraId="1DF7204F" w14:textId="77777777" w:rsidR="007C054E" w:rsidRPr="007C054E" w:rsidRDefault="007C054E" w:rsidP="00A75806">
            <w:pPr>
              <w:numPr>
                <w:ilvl w:val="1"/>
                <w:numId w:val="6"/>
              </w:numPr>
              <w:autoSpaceDE/>
              <w:autoSpaceDN/>
              <w:spacing w:after="0"/>
              <w:jc w:val="left"/>
              <w:rPr>
                <w:rFonts w:eastAsia="Times New Roman" w:cs="Times"/>
                <w:lang w:eastAsia="zh-CN"/>
              </w:rPr>
            </w:pPr>
            <w:r>
              <w:rPr>
                <w:rFonts w:eastAsia="Times New Roman" w:cs="Times"/>
                <w:lang w:eastAsia="zh-CN"/>
              </w:rPr>
              <w:t>FFS on whether/what other information along with the applicability is needed</w:t>
            </w:r>
          </w:p>
        </w:tc>
      </w:tr>
    </w:tbl>
    <w:p w14:paraId="35958422" w14:textId="77777777" w:rsidR="007C054E" w:rsidRDefault="007C054E" w:rsidP="007C054E">
      <w:pPr>
        <w:rPr>
          <w:lang w:eastAsia="zh-CN"/>
        </w:rPr>
      </w:pPr>
    </w:p>
    <w:p w14:paraId="36BF42AF" w14:textId="59A95BE0" w:rsidR="007C054E" w:rsidRDefault="007C054E" w:rsidP="007C054E">
      <w:pPr>
        <w:rPr>
          <w:lang w:eastAsia="zh-CN"/>
        </w:rPr>
      </w:pPr>
      <w:r>
        <w:rPr>
          <w:lang w:eastAsia="zh-CN"/>
        </w:rPr>
        <w:t xml:space="preserve">In RAN2#127bis, </w:t>
      </w:r>
      <w:r w:rsidRPr="007C054E">
        <w:rPr>
          <w:lang w:eastAsia="zh-CN"/>
        </w:rPr>
        <w:t>RAN2 agree to that the applicable reporting can be in UAI or in the RRC Reconfiguration Complete message</w:t>
      </w:r>
      <w:r>
        <w:rPr>
          <w:lang w:eastAsia="zh-CN"/>
        </w:rPr>
        <w:t xml:space="preserve"> and the aim is to align the report of applicability for both messages.</w:t>
      </w:r>
    </w:p>
    <w:p w14:paraId="329B11F7" w14:textId="0F791C57" w:rsidR="007C054E" w:rsidRDefault="007C054E" w:rsidP="005436D9">
      <w:pPr>
        <w:pStyle w:val="Agreement"/>
        <w:rPr>
          <w:lang w:eastAsia="zh-CN"/>
        </w:rPr>
      </w:pPr>
      <w:r>
        <w:rPr>
          <w:lang w:val="en-US" w:eastAsia="zh-CN"/>
        </w:rPr>
        <w:t xml:space="preserve">UAI is supported and RRCReconfigurationComplete message can be used to report applicable functionality.   We should aim to align the design on how the applicable functionality are signaled.   FFS on the applicability reporting content.   </w:t>
      </w:r>
    </w:p>
    <w:p w14:paraId="7EB940E1" w14:textId="3440EBB4" w:rsidR="007C054E" w:rsidRDefault="001D15C4" w:rsidP="007C054E">
      <w:pPr>
        <w:rPr>
          <w:rFonts w:eastAsiaTheme="minorEastAsia"/>
          <w:lang w:eastAsia="zh-CN"/>
        </w:rPr>
      </w:pPr>
      <w:r>
        <w:rPr>
          <w:lang w:eastAsia="zh-CN"/>
        </w:rPr>
        <w:t>The above agreement</w:t>
      </w:r>
      <w:r w:rsidR="007C054E">
        <w:rPr>
          <w:lang w:eastAsia="zh-CN"/>
        </w:rPr>
        <w:t xml:space="preserve"> </w:t>
      </w:r>
      <w:r>
        <w:rPr>
          <w:lang w:eastAsia="zh-CN"/>
        </w:rPr>
        <w:t>is assumed to be</w:t>
      </w:r>
      <w:r w:rsidR="007C054E">
        <w:rPr>
          <w:lang w:eastAsia="zh-CN"/>
        </w:rPr>
        <w:t xml:space="preserve"> applied to both Direction A) and B). </w:t>
      </w:r>
    </w:p>
    <w:p w14:paraId="5109B77D" w14:textId="65FFE38A" w:rsidR="00EB42FD" w:rsidRPr="00EB42FD" w:rsidRDefault="007C054E" w:rsidP="005436D9">
      <w:pPr>
        <w:rPr>
          <w:lang w:eastAsia="zh-CN"/>
        </w:rPr>
      </w:pPr>
      <w:r w:rsidRPr="007C054E">
        <w:rPr>
          <w:rFonts w:eastAsiaTheme="minorEastAsia"/>
          <w:b/>
          <w:lang w:eastAsia="zh-CN"/>
        </w:rPr>
        <w:t xml:space="preserve">Observation </w:t>
      </w:r>
      <w:r w:rsidR="00D726F5">
        <w:rPr>
          <w:rFonts w:eastAsiaTheme="minorEastAsia"/>
          <w:b/>
          <w:lang w:eastAsia="zh-CN"/>
        </w:rPr>
        <w:t>3</w:t>
      </w:r>
      <w:r w:rsidRPr="007C054E">
        <w:rPr>
          <w:rFonts w:eastAsiaTheme="minorEastAsia"/>
          <w:b/>
          <w:lang w:eastAsia="zh-CN"/>
        </w:rPr>
        <w:t>:</w:t>
      </w:r>
      <w:r>
        <w:rPr>
          <w:rFonts w:eastAsiaTheme="minorEastAsia"/>
          <w:lang w:eastAsia="zh-CN"/>
        </w:rPr>
        <w:t xml:space="preserve"> </w:t>
      </w:r>
      <w:r w:rsidR="001D15C4" w:rsidRPr="001D15C4">
        <w:rPr>
          <w:rFonts w:eastAsiaTheme="minorEastAsia"/>
          <w:b/>
          <w:lang w:eastAsia="zh-CN"/>
        </w:rPr>
        <w:t>R</w:t>
      </w:r>
      <w:r w:rsidRPr="001D15C4">
        <w:rPr>
          <w:rFonts w:eastAsiaTheme="minorEastAsia"/>
          <w:b/>
          <w:lang w:eastAsia="zh-CN"/>
        </w:rPr>
        <w:t>egardless of whether Direction A) and/or B) is</w:t>
      </w:r>
      <w:r w:rsidR="001D15C4" w:rsidRPr="001D15C4">
        <w:rPr>
          <w:rFonts w:eastAsiaTheme="minorEastAsia"/>
          <w:b/>
          <w:lang w:eastAsia="zh-CN"/>
        </w:rPr>
        <w:t xml:space="preserve"> applied in Step 3</w:t>
      </w:r>
      <w:r w:rsidRPr="001D15C4">
        <w:rPr>
          <w:rFonts w:eastAsiaTheme="minorEastAsia"/>
          <w:b/>
          <w:lang w:eastAsia="zh-CN"/>
        </w:rPr>
        <w:t>.</w:t>
      </w:r>
      <w:r w:rsidR="001D15C4" w:rsidRPr="001D15C4">
        <w:rPr>
          <w:b/>
        </w:rPr>
        <w:t xml:space="preserve"> </w:t>
      </w:r>
      <w:r w:rsidR="001D15C4" w:rsidRPr="001D15C4">
        <w:rPr>
          <w:rFonts w:eastAsiaTheme="minorEastAsia"/>
          <w:b/>
          <w:lang w:eastAsia="zh-CN"/>
        </w:rPr>
        <w:t>UAI and RRCReconfigurationComplete messages can be used to report applicable functionality and RAN2 aim to align the design on how the applicable functionality are signaled in both messages.</w:t>
      </w:r>
    </w:p>
    <w:p w14:paraId="49979EDE" w14:textId="6E671123" w:rsidR="006040BF" w:rsidRDefault="007C054E" w:rsidP="004E3F15">
      <w:pPr>
        <w:rPr>
          <w:lang w:eastAsia="zh-CN"/>
        </w:rPr>
      </w:pPr>
      <w:r>
        <w:rPr>
          <w:rFonts w:eastAsiaTheme="minorEastAsia"/>
          <w:lang w:eastAsia="zh-CN"/>
        </w:rPr>
        <w:t>Howe</w:t>
      </w:r>
      <w:r w:rsidR="001D15C4">
        <w:rPr>
          <w:rFonts w:eastAsiaTheme="minorEastAsia"/>
          <w:lang w:eastAsia="zh-CN"/>
        </w:rPr>
        <w:t xml:space="preserve">ver, the design of the signaling on reporting applicability for Direction A) or B) may not be the same. For Direction </w:t>
      </w:r>
      <w:r w:rsidR="004E3F15">
        <w:rPr>
          <w:lang w:eastAsia="zh-CN"/>
        </w:rPr>
        <w:t>A) in step3</w:t>
      </w:r>
      <w:r w:rsidR="00816729">
        <w:rPr>
          <w:lang w:eastAsia="zh-CN"/>
        </w:rPr>
        <w:t>, the UE may report a bitmap</w:t>
      </w:r>
      <w:r w:rsidR="004E3F15">
        <w:rPr>
          <w:lang w:eastAsia="zh-CN"/>
        </w:rPr>
        <w:t xml:space="preserve"> or </w:t>
      </w:r>
      <w:r w:rsidR="004E3F15" w:rsidRPr="004E3F15">
        <w:rPr>
          <w:i/>
          <w:iCs/>
          <w:lang w:eastAsia="zh-CN"/>
        </w:rPr>
        <w:t>CSI-ReportConfig IDs</w:t>
      </w:r>
      <w:r w:rsidR="00816729">
        <w:rPr>
          <w:lang w:eastAsia="zh-CN"/>
        </w:rPr>
        <w:t xml:space="preserve"> corresponding to the inference configuration to indicate the applicability of the functionality</w:t>
      </w:r>
      <w:r w:rsidR="00816729">
        <w:rPr>
          <w:rFonts w:hint="eastAsia"/>
          <w:lang w:eastAsia="zh-CN"/>
        </w:rPr>
        <w:t>.</w:t>
      </w:r>
      <w:r w:rsidR="00816729">
        <w:rPr>
          <w:lang w:eastAsia="zh-CN"/>
        </w:rPr>
        <w:t xml:space="preserve"> </w:t>
      </w:r>
      <w:r w:rsidR="004E3F15">
        <w:rPr>
          <w:lang w:eastAsia="zh-CN"/>
        </w:rPr>
        <w:t xml:space="preserve">If </w:t>
      </w:r>
      <w:proofErr w:type="spellStart"/>
      <w:r w:rsidR="001D15C4">
        <w:rPr>
          <w:lang w:eastAsia="zh-CN"/>
        </w:rPr>
        <w:t>gNB</w:t>
      </w:r>
      <w:proofErr w:type="spellEnd"/>
      <w:r w:rsidR="004E3F15">
        <w:rPr>
          <w:lang w:eastAsia="zh-CN"/>
        </w:rPr>
        <w:t xml:space="preserve"> provide</w:t>
      </w:r>
      <w:r w:rsidR="001D15C4">
        <w:rPr>
          <w:lang w:eastAsia="zh-CN"/>
        </w:rPr>
        <w:t>s Direction</w:t>
      </w:r>
      <w:r w:rsidR="004E3F15">
        <w:rPr>
          <w:lang w:eastAsia="zh-CN"/>
        </w:rPr>
        <w:t xml:space="preserve"> B)</w:t>
      </w:r>
      <w:r w:rsidR="001D15C4">
        <w:rPr>
          <w:lang w:eastAsia="zh-CN"/>
        </w:rPr>
        <w:t xml:space="preserve"> where</w:t>
      </w:r>
      <w:r w:rsidR="001D15C4" w:rsidRPr="001D15C4">
        <w:t xml:space="preserve"> </w:t>
      </w:r>
      <w:r w:rsidR="001D15C4">
        <w:rPr>
          <w:lang w:eastAsia="zh-CN"/>
        </w:rPr>
        <w:t>o</w:t>
      </w:r>
      <w:r w:rsidR="001D15C4" w:rsidRPr="001D15C4">
        <w:rPr>
          <w:lang w:eastAsia="zh-CN"/>
        </w:rPr>
        <w:t xml:space="preserve">ne set or multiple sets of inference related parameters </w:t>
      </w:r>
      <w:r w:rsidR="001D15C4">
        <w:rPr>
          <w:lang w:eastAsia="zh-CN"/>
        </w:rPr>
        <w:t xml:space="preserve">are signaled </w:t>
      </w:r>
      <w:r w:rsidR="001D15C4" w:rsidRPr="001D15C4">
        <w:rPr>
          <w:lang w:eastAsia="zh-CN"/>
        </w:rPr>
        <w:t>for applicability report</w:t>
      </w:r>
      <w:r w:rsidR="00816729">
        <w:rPr>
          <w:lang w:eastAsia="zh-CN"/>
        </w:rPr>
        <w:t>, the UE may indicate</w:t>
      </w:r>
      <w:r w:rsidR="001D15C4">
        <w:rPr>
          <w:lang w:eastAsia="zh-CN"/>
        </w:rPr>
        <w:t xml:space="preserve"> the set of</w:t>
      </w:r>
      <w:r w:rsidR="00816729">
        <w:rPr>
          <w:lang w:eastAsia="zh-CN"/>
        </w:rPr>
        <w:t xml:space="preserve"> the inference related parameters of the applicable functionalities</w:t>
      </w:r>
      <w:r w:rsidR="001D15C4">
        <w:rPr>
          <w:lang w:eastAsia="zh-CN"/>
        </w:rPr>
        <w:t xml:space="preserve"> (e.g. a Set ID)</w:t>
      </w:r>
      <w:r w:rsidR="0018342E">
        <w:rPr>
          <w:lang w:eastAsia="zh-CN"/>
        </w:rPr>
        <w:t>.</w:t>
      </w:r>
      <w:r w:rsidR="001D15C4">
        <w:rPr>
          <w:lang w:eastAsia="zh-CN"/>
        </w:rPr>
        <w:t xml:space="preserve"> </w:t>
      </w:r>
      <w:r w:rsidR="002D4B68">
        <w:rPr>
          <w:lang w:eastAsia="zh-CN"/>
        </w:rPr>
        <w:t xml:space="preserve"> To align </w:t>
      </w:r>
      <w:r w:rsidR="002D4B68" w:rsidRPr="002D4B68">
        <w:rPr>
          <w:lang w:eastAsia="zh-CN"/>
        </w:rPr>
        <w:t>the design on how the applicable functionality are signaled in both</w:t>
      </w:r>
      <w:r w:rsidR="002D4B68">
        <w:rPr>
          <w:lang w:eastAsia="zh-CN"/>
        </w:rPr>
        <w:t xml:space="preserve"> UAI and RRC Reconfiguration Complete message,</w:t>
      </w:r>
      <w:r w:rsidR="002D4B68">
        <w:t xml:space="preserve"> </w:t>
      </w:r>
      <w:r w:rsidR="00690780" w:rsidRPr="00690780">
        <w:t>the UAI message containing the applicable reporting can be carried as container in RRC Reconfiguration Complete</w:t>
      </w:r>
      <w:r w:rsidR="002D4B68">
        <w:t>.</w:t>
      </w:r>
    </w:p>
    <w:p w14:paraId="21F01010" w14:textId="77777777" w:rsidR="006C6630" w:rsidRDefault="006C6630" w:rsidP="006C6630">
      <w:pPr>
        <w:rPr>
          <w:b/>
          <w:lang w:eastAsia="zh-CN"/>
        </w:rPr>
      </w:pPr>
      <w:r w:rsidRPr="00D77091">
        <w:rPr>
          <w:b/>
          <w:lang w:eastAsia="zh-CN"/>
        </w:rPr>
        <w:t xml:space="preserve">Proposal </w:t>
      </w:r>
      <w:r>
        <w:rPr>
          <w:b/>
          <w:lang w:eastAsia="zh-CN"/>
        </w:rPr>
        <w:t>3</w:t>
      </w:r>
      <w:r w:rsidRPr="00D77091">
        <w:rPr>
          <w:b/>
          <w:lang w:eastAsia="zh-CN"/>
        </w:rPr>
        <w:t xml:space="preserve">: </w:t>
      </w:r>
      <w:r w:rsidRPr="002D4B68">
        <w:rPr>
          <w:b/>
          <w:lang w:eastAsia="zh-CN"/>
        </w:rPr>
        <w:t xml:space="preserve">To align the design on how the applicable functionality are signaled in both UAI and RRC Reconfiguration Complete message, </w:t>
      </w:r>
      <w:bookmarkStart w:id="3" w:name="_Hlk188792283"/>
      <w:r w:rsidRPr="002D4B68">
        <w:rPr>
          <w:b/>
          <w:lang w:eastAsia="zh-CN"/>
        </w:rPr>
        <w:t xml:space="preserve">the </w:t>
      </w:r>
      <w:r>
        <w:rPr>
          <w:b/>
          <w:lang w:eastAsia="zh-CN"/>
        </w:rPr>
        <w:t>UAI message containing the applicable reporting can be carried as container</w:t>
      </w:r>
      <w:r w:rsidRPr="002D4B68">
        <w:rPr>
          <w:b/>
          <w:lang w:eastAsia="zh-CN"/>
        </w:rPr>
        <w:t xml:space="preserve"> in RRC Reconfiguration Complete</w:t>
      </w:r>
      <w:bookmarkEnd w:id="3"/>
      <w:r>
        <w:rPr>
          <w:b/>
          <w:lang w:eastAsia="zh-CN"/>
        </w:rPr>
        <w:t>.</w:t>
      </w:r>
    </w:p>
    <w:p w14:paraId="52FD722A" w14:textId="65AC6B86" w:rsidR="006C6630" w:rsidRDefault="006C6630" w:rsidP="006C6630">
      <w:pPr>
        <w:rPr>
          <w:bCs/>
          <w:lang w:eastAsia="zh-CN"/>
        </w:rPr>
      </w:pPr>
      <w:r>
        <w:rPr>
          <w:b/>
          <w:lang w:eastAsia="zh-CN"/>
        </w:rPr>
        <w:t>Proposal 4: T</w:t>
      </w:r>
      <w:r w:rsidRPr="002D4B68">
        <w:rPr>
          <w:b/>
          <w:lang w:eastAsia="zh-CN"/>
        </w:rPr>
        <w:t>he applicability report</w:t>
      </w:r>
      <w:r>
        <w:rPr>
          <w:b/>
          <w:lang w:eastAsia="zh-CN"/>
        </w:rPr>
        <w:t>ing in the UAI message</w:t>
      </w:r>
      <w:r w:rsidRPr="002D4B68">
        <w:rPr>
          <w:b/>
          <w:lang w:eastAsia="zh-CN"/>
        </w:rPr>
        <w:t xml:space="preserve"> may indicate either a certain CSI config</w:t>
      </w:r>
      <w:r>
        <w:rPr>
          <w:b/>
          <w:lang w:eastAsia="zh-CN"/>
        </w:rPr>
        <w:t xml:space="preserve"> (for Direction A)</w:t>
      </w:r>
      <w:r w:rsidRPr="002D4B68">
        <w:rPr>
          <w:b/>
          <w:lang w:eastAsia="zh-CN"/>
        </w:rPr>
        <w:t xml:space="preserve"> </w:t>
      </w:r>
      <w:r>
        <w:rPr>
          <w:b/>
          <w:lang w:eastAsia="zh-CN"/>
        </w:rPr>
        <w:t>and/</w:t>
      </w:r>
      <w:r w:rsidRPr="002D4B68">
        <w:rPr>
          <w:b/>
          <w:lang w:eastAsia="zh-CN"/>
        </w:rPr>
        <w:t xml:space="preserve">or some set of </w:t>
      </w:r>
      <w:r>
        <w:rPr>
          <w:b/>
          <w:lang w:eastAsia="zh-CN"/>
        </w:rPr>
        <w:t>parameters</w:t>
      </w:r>
      <w:r w:rsidRPr="002D4B68">
        <w:rPr>
          <w:b/>
          <w:lang w:eastAsia="zh-CN"/>
        </w:rPr>
        <w:t xml:space="preserve"> (</w:t>
      </w:r>
      <w:r>
        <w:rPr>
          <w:b/>
          <w:lang w:eastAsia="zh-CN"/>
        </w:rPr>
        <w:t>for Direction</w:t>
      </w:r>
      <w:r w:rsidRPr="002D4B68">
        <w:rPr>
          <w:b/>
          <w:lang w:eastAsia="zh-CN"/>
        </w:rPr>
        <w:t xml:space="preserve"> B)) as applicable (e.g. using a bitmap, or set of indexes etc. which </w:t>
      </w:r>
      <w:r>
        <w:rPr>
          <w:b/>
          <w:lang w:eastAsia="zh-CN"/>
        </w:rPr>
        <w:t>can be further discussed in</w:t>
      </w:r>
      <w:r w:rsidRPr="002D4B68">
        <w:rPr>
          <w:b/>
          <w:lang w:eastAsia="zh-CN"/>
        </w:rPr>
        <w:t xml:space="preserve"> a stage-3 </w:t>
      </w:r>
      <w:r>
        <w:rPr>
          <w:b/>
          <w:lang w:eastAsia="zh-CN"/>
        </w:rPr>
        <w:t>design)</w:t>
      </w:r>
    </w:p>
    <w:p w14:paraId="0DE5FE59" w14:textId="6315B63F" w:rsidR="006C6630" w:rsidRDefault="006C6630" w:rsidP="006C6630">
      <w:pPr>
        <w:rPr>
          <w:bCs/>
          <w:lang w:eastAsia="zh-CN"/>
        </w:rPr>
      </w:pPr>
      <w:r>
        <w:rPr>
          <w:bCs/>
          <w:lang w:eastAsia="zh-CN"/>
        </w:rPr>
        <w:t>For Direction</w:t>
      </w:r>
      <w:r w:rsidRPr="00C112D5">
        <w:rPr>
          <w:bCs/>
          <w:lang w:eastAsia="zh-CN"/>
        </w:rPr>
        <w:t xml:space="preserve"> A) </w:t>
      </w:r>
      <w:r>
        <w:rPr>
          <w:bCs/>
          <w:lang w:eastAsia="zh-CN"/>
        </w:rPr>
        <w:t xml:space="preserve">where </w:t>
      </w:r>
      <w:r w:rsidRPr="00C112D5">
        <w:rPr>
          <w:bCs/>
          <w:lang w:eastAsia="zh-CN"/>
        </w:rPr>
        <w:t>one or more CSI-</w:t>
      </w:r>
      <w:proofErr w:type="spellStart"/>
      <w:r w:rsidRPr="00C112D5">
        <w:rPr>
          <w:bCs/>
          <w:lang w:eastAsia="zh-CN"/>
        </w:rPr>
        <w:t>ReportConfig</w:t>
      </w:r>
      <w:proofErr w:type="spellEnd"/>
      <w:r w:rsidRPr="00C112D5">
        <w:rPr>
          <w:bCs/>
          <w:lang w:eastAsia="zh-CN"/>
        </w:rPr>
        <w:t xml:space="preserve"> is provided in </w:t>
      </w:r>
      <w:r>
        <w:rPr>
          <w:bCs/>
          <w:lang w:eastAsia="zh-CN"/>
        </w:rPr>
        <w:t>S</w:t>
      </w:r>
      <w:r w:rsidRPr="00C112D5">
        <w:rPr>
          <w:bCs/>
          <w:lang w:eastAsia="zh-CN"/>
        </w:rPr>
        <w:t>tep</w:t>
      </w:r>
      <w:r>
        <w:rPr>
          <w:bCs/>
          <w:lang w:eastAsia="zh-CN"/>
        </w:rPr>
        <w:t xml:space="preserve"> </w:t>
      </w:r>
      <w:r w:rsidRPr="00C112D5">
        <w:rPr>
          <w:bCs/>
          <w:lang w:eastAsia="zh-CN"/>
        </w:rPr>
        <w:t>3</w:t>
      </w:r>
      <w:r>
        <w:rPr>
          <w:bCs/>
          <w:lang w:eastAsia="zh-CN"/>
        </w:rPr>
        <w:t xml:space="preserve"> for inference</w:t>
      </w:r>
      <w:r w:rsidRPr="00C112D5">
        <w:rPr>
          <w:bCs/>
          <w:lang w:eastAsia="zh-CN"/>
        </w:rPr>
        <w:t xml:space="preserve">, </w:t>
      </w:r>
      <w:r>
        <w:rPr>
          <w:bCs/>
          <w:lang w:eastAsia="zh-CN"/>
        </w:rPr>
        <w:t>RAN1 agrees that:</w:t>
      </w:r>
    </w:p>
    <w:tbl>
      <w:tblPr>
        <w:tblStyle w:val="10"/>
        <w:tblW w:w="0" w:type="auto"/>
        <w:tblLook w:val="04A0" w:firstRow="1" w:lastRow="0" w:firstColumn="1" w:lastColumn="0" w:noHBand="0" w:noVBand="1"/>
      </w:tblPr>
      <w:tblGrid>
        <w:gridCol w:w="9307"/>
      </w:tblGrid>
      <w:tr w:rsidR="006C6630" w14:paraId="14E0DAE6" w14:textId="77777777" w:rsidTr="007A330F">
        <w:tc>
          <w:tcPr>
            <w:tcW w:w="9307" w:type="dxa"/>
          </w:tcPr>
          <w:p w14:paraId="4B5B43D2" w14:textId="77777777" w:rsidR="006C6630" w:rsidRDefault="006C6630" w:rsidP="006C6630">
            <w:pPr>
              <w:numPr>
                <w:ilvl w:val="2"/>
                <w:numId w:val="16"/>
              </w:numPr>
              <w:autoSpaceDE/>
              <w:autoSpaceDN/>
              <w:spacing w:after="0"/>
              <w:ind w:left="357" w:hanging="357"/>
              <w:jc w:val="left"/>
              <w:rPr>
                <w:rFonts w:eastAsia="Times New Roman" w:cs="Times"/>
              </w:rPr>
            </w:pPr>
            <w:r>
              <w:rPr>
                <w:rFonts w:eastAsia="Times New Roman" w:cs="Times"/>
              </w:rPr>
              <w:t>Applicable aperiodic CSI Report and semi-persistent CSI report can be activated/triggered by NW after the applicability reported.  </w:t>
            </w:r>
          </w:p>
          <w:p w14:paraId="07459E91" w14:textId="77777777" w:rsidR="006C6630" w:rsidRPr="00C112D5" w:rsidRDefault="006C6630" w:rsidP="006C6630">
            <w:pPr>
              <w:numPr>
                <w:ilvl w:val="2"/>
                <w:numId w:val="16"/>
              </w:numPr>
              <w:autoSpaceDE/>
              <w:autoSpaceDN/>
              <w:spacing w:after="0"/>
              <w:ind w:left="357" w:hanging="357"/>
              <w:jc w:val="left"/>
              <w:rPr>
                <w:rFonts w:eastAsia="Times New Roman" w:cs="Times"/>
              </w:rPr>
            </w:pPr>
            <w:r>
              <w:rPr>
                <w:rFonts w:eastAsia="Times New Roman" w:cs="Times"/>
              </w:rPr>
              <w:t xml:space="preserve">Applicable periodic CSI Report is considered as activated only if the applicability of the corresponding </w:t>
            </w:r>
            <w:r>
              <w:rPr>
                <w:rFonts w:eastAsia="Times New Roman" w:cs="Times"/>
                <w:i/>
                <w:iCs/>
              </w:rPr>
              <w:t>CSI-</w:t>
            </w:r>
            <w:proofErr w:type="spellStart"/>
            <w:r>
              <w:rPr>
                <w:rFonts w:eastAsia="Times New Roman" w:cs="Times"/>
                <w:i/>
                <w:iCs/>
              </w:rPr>
              <w:t>ReportConfig</w:t>
            </w:r>
            <w:proofErr w:type="spellEnd"/>
            <w:r>
              <w:rPr>
                <w:rFonts w:eastAsia="Times New Roman" w:cs="Times"/>
                <w:i/>
                <w:iCs/>
              </w:rPr>
              <w:t> </w:t>
            </w:r>
            <w:r>
              <w:rPr>
                <w:rFonts w:eastAsia="Times New Roman" w:cs="Times"/>
              </w:rPr>
              <w:t>is reported in </w:t>
            </w:r>
            <w:proofErr w:type="spellStart"/>
            <w:r>
              <w:rPr>
                <w:rFonts w:eastAsia="Times New Roman" w:cs="Times"/>
                <w:i/>
                <w:iCs/>
              </w:rPr>
              <w:t>RRCReconfigurationComplete</w:t>
            </w:r>
            <w:proofErr w:type="spellEnd"/>
            <w:r>
              <w:rPr>
                <w:rFonts w:eastAsia="Times New Roman" w:cs="Times"/>
                <w:i/>
                <w:iCs/>
              </w:rPr>
              <w:t>.</w:t>
            </w:r>
          </w:p>
        </w:tc>
      </w:tr>
    </w:tbl>
    <w:p w14:paraId="113A6234" w14:textId="77777777" w:rsidR="006C6630" w:rsidRDefault="006C6630" w:rsidP="006C6630">
      <w:pPr>
        <w:rPr>
          <w:lang w:eastAsia="zh-CN"/>
        </w:rPr>
      </w:pPr>
      <w:r>
        <w:rPr>
          <w:lang w:eastAsia="zh-CN"/>
        </w:rPr>
        <w:t>Also, RAN1 has conclusion below, if CSI-</w:t>
      </w:r>
      <w:proofErr w:type="spellStart"/>
      <w:r>
        <w:rPr>
          <w:lang w:eastAsia="zh-CN"/>
        </w:rPr>
        <w:t>ReportConfig</w:t>
      </w:r>
      <w:proofErr w:type="spellEnd"/>
      <w:r>
        <w:rPr>
          <w:lang w:eastAsia="zh-CN"/>
        </w:rPr>
        <w:t xml:space="preserve"> for inference configuration is provided in step5:</w:t>
      </w:r>
    </w:p>
    <w:tbl>
      <w:tblPr>
        <w:tblStyle w:val="10"/>
        <w:tblW w:w="0" w:type="auto"/>
        <w:tblLook w:val="04A0" w:firstRow="1" w:lastRow="0" w:firstColumn="1" w:lastColumn="0" w:noHBand="0" w:noVBand="1"/>
      </w:tblPr>
      <w:tblGrid>
        <w:gridCol w:w="9307"/>
      </w:tblGrid>
      <w:tr w:rsidR="006C6630" w14:paraId="3D490A9C" w14:textId="77777777" w:rsidTr="007A330F">
        <w:tc>
          <w:tcPr>
            <w:tcW w:w="9307" w:type="dxa"/>
          </w:tcPr>
          <w:p w14:paraId="07D624A9" w14:textId="77777777" w:rsidR="006C6630" w:rsidRPr="00C112D5" w:rsidRDefault="006C6630" w:rsidP="006C6630">
            <w:pPr>
              <w:pStyle w:val="ListParagraph"/>
              <w:numPr>
                <w:ilvl w:val="0"/>
                <w:numId w:val="17"/>
              </w:numPr>
              <w:autoSpaceDE/>
              <w:autoSpaceDN/>
              <w:adjustRightInd/>
              <w:snapToGrid/>
              <w:spacing w:after="0"/>
              <w:ind w:left="357" w:firstLineChars="0" w:hanging="357"/>
              <w:contextualSpacing/>
              <w:jc w:val="left"/>
              <w:rPr>
                <w:rFonts w:ascii="Times New Roman" w:eastAsia="Times New Roman" w:hAnsi="Times New Roman" w:cs="Times"/>
                <w:sz w:val="20"/>
                <w:szCs w:val="20"/>
              </w:rPr>
            </w:pPr>
            <w:r w:rsidRPr="00DC787E">
              <w:rPr>
                <w:rFonts w:ascii="Times New Roman" w:eastAsia="Times New Roman" w:hAnsi="Times New Roman" w:cs="Times"/>
                <w:sz w:val="20"/>
                <w:szCs w:val="20"/>
              </w:rPr>
              <w:t xml:space="preserve">Note: UE is not expected to be configured with a </w:t>
            </w:r>
            <w:r w:rsidRPr="00DC787E">
              <w:rPr>
                <w:rFonts w:ascii="Times New Roman" w:eastAsia="Times New Roman" w:hAnsi="Times New Roman" w:cs="Times"/>
                <w:i/>
                <w:iCs/>
                <w:sz w:val="20"/>
                <w:szCs w:val="20"/>
              </w:rPr>
              <w:t>CSI-</w:t>
            </w:r>
            <w:proofErr w:type="spellStart"/>
            <w:r w:rsidRPr="00DC787E">
              <w:rPr>
                <w:rFonts w:ascii="Times New Roman" w:eastAsia="Times New Roman" w:hAnsi="Times New Roman" w:cs="Times"/>
                <w:i/>
                <w:iCs/>
                <w:sz w:val="20"/>
                <w:szCs w:val="20"/>
              </w:rPr>
              <w:t>ReportConfig</w:t>
            </w:r>
            <w:proofErr w:type="spellEnd"/>
            <w:r w:rsidRPr="00DC787E">
              <w:rPr>
                <w:rFonts w:ascii="Times New Roman" w:eastAsia="Times New Roman" w:hAnsi="Times New Roman" w:cs="Times"/>
                <w:sz w:val="20"/>
                <w:szCs w:val="20"/>
              </w:rPr>
              <w:t xml:space="preserve"> for inference configuration for a non-applicable set of inference parameters or a non-applicable </w:t>
            </w:r>
            <w:r w:rsidRPr="00DC787E">
              <w:rPr>
                <w:rFonts w:ascii="Times New Roman" w:eastAsia="Times New Roman" w:hAnsi="Times New Roman" w:cs="Times"/>
                <w:i/>
                <w:iCs/>
                <w:sz w:val="20"/>
                <w:szCs w:val="20"/>
              </w:rPr>
              <w:t>CSI-</w:t>
            </w:r>
            <w:proofErr w:type="spellStart"/>
            <w:r w:rsidRPr="00DC787E">
              <w:rPr>
                <w:rFonts w:ascii="Times New Roman" w:eastAsia="Times New Roman" w:hAnsi="Times New Roman" w:cs="Times"/>
                <w:i/>
                <w:iCs/>
                <w:sz w:val="20"/>
                <w:szCs w:val="20"/>
              </w:rPr>
              <w:t>ReportConfig</w:t>
            </w:r>
            <w:proofErr w:type="spellEnd"/>
            <w:r w:rsidRPr="00DC787E">
              <w:rPr>
                <w:rFonts w:ascii="Times New Roman" w:eastAsia="Times New Roman" w:hAnsi="Times New Roman" w:cs="Times"/>
                <w:sz w:val="20"/>
                <w:szCs w:val="20"/>
              </w:rPr>
              <w:t> </w:t>
            </w:r>
            <w:r w:rsidRPr="00DC787E">
              <w:rPr>
                <w:rFonts w:ascii="Times New Roman" w:eastAsia="Times New Roman" w:hAnsi="Times New Roman" w:cs="Times" w:hint="eastAsia"/>
                <w:sz w:val="20"/>
                <w:szCs w:val="20"/>
              </w:rPr>
              <w:t xml:space="preserve"> </w:t>
            </w:r>
          </w:p>
        </w:tc>
      </w:tr>
    </w:tbl>
    <w:p w14:paraId="5AC286B0" w14:textId="77777777" w:rsidR="006C6630" w:rsidRDefault="006C6630" w:rsidP="006C6630">
      <w:pPr>
        <w:rPr>
          <w:lang w:eastAsia="zh-CN"/>
        </w:rPr>
      </w:pPr>
      <w:r>
        <w:rPr>
          <w:lang w:eastAsia="zh-CN"/>
        </w:rPr>
        <w:t>For non-applicable aperiodic CSI Report and semi-persistent CSI Report, it seems fine for the UE to keep them in the corresponding CSI-</w:t>
      </w:r>
      <w:proofErr w:type="spellStart"/>
      <w:r>
        <w:rPr>
          <w:lang w:eastAsia="zh-CN"/>
        </w:rPr>
        <w:t>ReportConfig</w:t>
      </w:r>
      <w:proofErr w:type="spellEnd"/>
      <w:r>
        <w:rPr>
          <w:lang w:eastAsia="zh-CN"/>
        </w:rPr>
        <w:t xml:space="preserve"> configuration since </w:t>
      </w:r>
      <w:proofErr w:type="spellStart"/>
      <w:r>
        <w:rPr>
          <w:lang w:eastAsia="zh-CN"/>
        </w:rPr>
        <w:t>gNB</w:t>
      </w:r>
      <w:proofErr w:type="spellEnd"/>
      <w:r>
        <w:rPr>
          <w:lang w:eastAsia="zh-CN"/>
        </w:rPr>
        <w:t xml:space="preserve"> will not trigger or activate them.  It can be left to the </w:t>
      </w:r>
      <w:proofErr w:type="spellStart"/>
      <w:r>
        <w:rPr>
          <w:lang w:eastAsia="zh-CN"/>
        </w:rPr>
        <w:t>gNB</w:t>
      </w:r>
      <w:proofErr w:type="spellEnd"/>
      <w:r>
        <w:rPr>
          <w:lang w:eastAsia="zh-CN"/>
        </w:rPr>
        <w:t xml:space="preserve"> to decide whether to </w:t>
      </w:r>
      <w:proofErr w:type="spellStart"/>
      <w:r>
        <w:rPr>
          <w:lang w:eastAsia="zh-CN"/>
        </w:rPr>
        <w:t>deconfigure</w:t>
      </w:r>
      <w:proofErr w:type="spellEnd"/>
      <w:r>
        <w:rPr>
          <w:lang w:eastAsia="zh-CN"/>
        </w:rPr>
        <w:t xml:space="preserve"> at Step 5 or keep them when they become applicable in the future. As for non-applicable periodic CSI Report, we need to consider whether to de-configure it to follow the note above as applicable periodic CSI Report is considered activated after </w:t>
      </w:r>
      <w:proofErr w:type="spellStart"/>
      <w:r>
        <w:rPr>
          <w:lang w:eastAsia="zh-CN"/>
        </w:rPr>
        <w:t>RRCReconfigurationComplete</w:t>
      </w:r>
      <w:proofErr w:type="spellEnd"/>
      <w:r>
        <w:rPr>
          <w:lang w:eastAsia="zh-CN"/>
        </w:rPr>
        <w:t xml:space="preserve">. For this case, </w:t>
      </w:r>
      <w:r w:rsidRPr="0086314E">
        <w:rPr>
          <w:lang w:eastAsia="zh-CN"/>
        </w:rPr>
        <w:t xml:space="preserve">UE </w:t>
      </w:r>
      <w:r>
        <w:rPr>
          <w:lang w:eastAsia="zh-CN"/>
        </w:rPr>
        <w:t>can</w:t>
      </w:r>
      <w:r w:rsidRPr="0086314E">
        <w:rPr>
          <w:lang w:eastAsia="zh-CN"/>
        </w:rPr>
        <w:t xml:space="preserve"> autonomously release those periodic CSI report configurations that are not applicable </w:t>
      </w:r>
      <w:r>
        <w:rPr>
          <w:lang w:eastAsia="zh-CN"/>
        </w:rPr>
        <w:t xml:space="preserve">after step4, </w:t>
      </w:r>
      <w:r w:rsidRPr="0086314E">
        <w:rPr>
          <w:lang w:eastAsia="zh-CN"/>
        </w:rPr>
        <w:t>or wait until Step 5 for the NW to release those</w:t>
      </w:r>
      <w:r>
        <w:rPr>
          <w:color w:val="548235"/>
        </w:rPr>
        <w:t xml:space="preserve"> </w:t>
      </w:r>
      <w:r w:rsidRPr="0086314E">
        <w:rPr>
          <w:lang w:eastAsia="zh-CN"/>
        </w:rPr>
        <w:t>configurations.</w:t>
      </w:r>
      <w:r>
        <w:rPr>
          <w:lang w:eastAsia="zh-CN"/>
        </w:rPr>
        <w:t xml:space="preserve">  Note that this may occur not just during initial configuration case in Step 3. An applicable periodic CSI Report may become non-applicable some time future after initial configuration. RAN2 agree that UE doesn’t autonomously deactivate or </w:t>
      </w:r>
      <w:proofErr w:type="spellStart"/>
      <w:r>
        <w:rPr>
          <w:lang w:eastAsia="zh-CN"/>
        </w:rPr>
        <w:t>deconfigure</w:t>
      </w:r>
      <w:proofErr w:type="spellEnd"/>
      <w:r>
        <w:rPr>
          <w:lang w:eastAsia="zh-CN"/>
        </w:rPr>
        <w:t xml:space="preserve"> an active functionality as follow:</w:t>
      </w:r>
    </w:p>
    <w:p w14:paraId="73B5FDF4" w14:textId="77777777" w:rsidR="006C6630" w:rsidRDefault="006C6630" w:rsidP="006C6630">
      <w:pPr>
        <w:pStyle w:val="Agreement"/>
        <w:tabs>
          <w:tab w:val="clear" w:pos="1619"/>
          <w:tab w:val="num" w:pos="1710"/>
        </w:tabs>
        <w:ind w:left="1710"/>
      </w:pPr>
      <w:r>
        <w:rPr>
          <w:lang w:val="en-US"/>
        </w:rPr>
        <w:t>When a functionality</w:t>
      </w:r>
      <w:r w:rsidRPr="00542255">
        <w:rPr>
          <w:lang w:val="en-US"/>
        </w:rPr>
        <w:t xml:space="preserve"> becomes non-applicable</w:t>
      </w:r>
      <w:r>
        <w:rPr>
          <w:lang w:val="en-US"/>
        </w:rPr>
        <w:t xml:space="preserve"> the UE doesn’t autonomously deactivate</w:t>
      </w:r>
      <w:r w:rsidRPr="00542255">
        <w:rPr>
          <w:lang w:val="en-US"/>
        </w:rPr>
        <w:t xml:space="preserve">. NW </w:t>
      </w:r>
      <w:r>
        <w:rPr>
          <w:lang w:val="en-US"/>
        </w:rPr>
        <w:t>is expected to deactivate</w:t>
      </w:r>
      <w:r w:rsidRPr="00542255">
        <w:rPr>
          <w:lang w:val="en-US"/>
        </w:rPr>
        <w:t xml:space="preserve"> activ</w:t>
      </w:r>
      <w:r>
        <w:rPr>
          <w:lang w:val="en-US"/>
        </w:rPr>
        <w:t>e</w:t>
      </w:r>
      <w:r w:rsidRPr="00542255">
        <w:rPr>
          <w:lang w:val="en-US"/>
        </w:rPr>
        <w:t xml:space="preserve"> functionality when it </w:t>
      </w:r>
      <w:r>
        <w:rPr>
          <w:lang w:val="en-US"/>
        </w:rPr>
        <w:t>receives report from UE</w:t>
      </w:r>
      <w:r w:rsidRPr="00542255">
        <w:rPr>
          <w:lang w:val="en-US"/>
        </w:rPr>
        <w:t xml:space="preserve"> that it is non-applicable</w:t>
      </w:r>
      <w:r>
        <w:rPr>
          <w:lang w:val="en-US"/>
        </w:rPr>
        <w:t>.</w:t>
      </w:r>
    </w:p>
    <w:p w14:paraId="45594CD9" w14:textId="484D700E" w:rsidR="006C6630" w:rsidRDefault="006C6630" w:rsidP="006C6630">
      <w:pPr>
        <w:rPr>
          <w:lang w:eastAsia="zh-CN"/>
        </w:rPr>
      </w:pPr>
      <w:r>
        <w:rPr>
          <w:lang w:eastAsia="zh-CN"/>
        </w:rPr>
        <w:t>Sticking to the same principle as this agreement, UE should not autonomously release non-applicable periodic CSI report configurations after Step 4.</w:t>
      </w:r>
    </w:p>
    <w:p w14:paraId="47D87602" w14:textId="22A5F2FC" w:rsidR="00C112D5" w:rsidRDefault="00C112D5" w:rsidP="00840CE4">
      <w:pPr>
        <w:rPr>
          <w:b/>
          <w:bCs/>
          <w:lang w:eastAsia="zh-CN"/>
        </w:rPr>
      </w:pPr>
      <w:r w:rsidRPr="0086314E">
        <w:rPr>
          <w:rFonts w:hint="eastAsia"/>
          <w:b/>
          <w:bCs/>
          <w:lang w:eastAsia="zh-CN"/>
        </w:rPr>
        <w:lastRenderedPageBreak/>
        <w:t>P</w:t>
      </w:r>
      <w:r w:rsidRPr="0086314E">
        <w:rPr>
          <w:b/>
          <w:bCs/>
          <w:lang w:eastAsia="zh-CN"/>
        </w:rPr>
        <w:t xml:space="preserve">roposal </w:t>
      </w:r>
      <w:r w:rsidR="006C6630">
        <w:rPr>
          <w:b/>
          <w:bCs/>
          <w:lang w:eastAsia="zh-CN"/>
        </w:rPr>
        <w:t>5</w:t>
      </w:r>
      <w:r w:rsidRPr="0086314E">
        <w:rPr>
          <w:b/>
          <w:bCs/>
          <w:lang w:eastAsia="zh-CN"/>
        </w:rPr>
        <w:t>: if</w:t>
      </w:r>
      <w:r w:rsidR="001D15C4">
        <w:rPr>
          <w:b/>
          <w:bCs/>
          <w:lang w:eastAsia="zh-CN"/>
        </w:rPr>
        <w:t xml:space="preserve"> Direction A (i.e.</w:t>
      </w:r>
      <w:r w:rsidRPr="0086314E">
        <w:rPr>
          <w:b/>
          <w:bCs/>
          <w:lang w:eastAsia="zh-CN"/>
        </w:rPr>
        <w:t xml:space="preserve"> </w:t>
      </w:r>
      <w:r w:rsidRPr="00921814">
        <w:rPr>
          <w:b/>
          <w:bCs/>
          <w:i/>
          <w:iCs/>
          <w:lang w:eastAsia="zh-CN"/>
        </w:rPr>
        <w:t>CSI-ReportConfig</w:t>
      </w:r>
      <w:r w:rsidRPr="0086314E">
        <w:rPr>
          <w:b/>
          <w:bCs/>
          <w:lang w:eastAsia="zh-CN"/>
        </w:rPr>
        <w:t xml:space="preserve"> is provided</w:t>
      </w:r>
      <w:r w:rsidR="001D15C4">
        <w:rPr>
          <w:b/>
          <w:bCs/>
          <w:lang w:eastAsia="zh-CN"/>
        </w:rPr>
        <w:t>)</w:t>
      </w:r>
      <w:r w:rsidRPr="0086314E">
        <w:rPr>
          <w:b/>
          <w:bCs/>
          <w:lang w:eastAsia="zh-CN"/>
        </w:rPr>
        <w:t xml:space="preserve"> in step3, </w:t>
      </w:r>
      <w:r w:rsidR="00921814" w:rsidRPr="00921814">
        <w:rPr>
          <w:b/>
          <w:bCs/>
          <w:lang w:eastAsia="zh-CN"/>
        </w:rPr>
        <w:t xml:space="preserve">UE </w:t>
      </w:r>
      <w:r w:rsidR="001D15C4">
        <w:rPr>
          <w:b/>
          <w:bCs/>
          <w:lang w:eastAsia="zh-CN"/>
        </w:rPr>
        <w:t>doesn’t</w:t>
      </w:r>
      <w:r w:rsidR="00921814" w:rsidRPr="00921814">
        <w:rPr>
          <w:b/>
          <w:bCs/>
          <w:lang w:eastAsia="zh-CN"/>
        </w:rPr>
        <w:t xml:space="preserve"> autonomously release those CSI report configurations that are </w:t>
      </w:r>
      <w:r w:rsidR="00921814">
        <w:rPr>
          <w:b/>
          <w:bCs/>
          <w:lang w:eastAsia="zh-CN"/>
        </w:rPr>
        <w:t>non-</w:t>
      </w:r>
      <w:r w:rsidR="00921814" w:rsidRPr="00921814">
        <w:rPr>
          <w:b/>
          <w:bCs/>
          <w:lang w:eastAsia="zh-CN"/>
        </w:rPr>
        <w:t xml:space="preserve">applicable after </w:t>
      </w:r>
      <w:r w:rsidR="001D15C4">
        <w:rPr>
          <w:b/>
          <w:bCs/>
          <w:lang w:eastAsia="zh-CN"/>
        </w:rPr>
        <w:t>S</w:t>
      </w:r>
      <w:r w:rsidR="00921814" w:rsidRPr="00921814">
        <w:rPr>
          <w:b/>
          <w:bCs/>
          <w:lang w:eastAsia="zh-CN"/>
        </w:rPr>
        <w:t xml:space="preserve">tep4 </w:t>
      </w:r>
      <w:r w:rsidR="001D15C4">
        <w:rPr>
          <w:b/>
          <w:bCs/>
          <w:lang w:eastAsia="zh-CN"/>
        </w:rPr>
        <w:t>but leave them to</w:t>
      </w:r>
      <w:r w:rsidR="00921814" w:rsidRPr="00921814">
        <w:rPr>
          <w:b/>
          <w:bCs/>
          <w:lang w:eastAsia="zh-CN"/>
        </w:rPr>
        <w:t xml:space="preserve"> </w:t>
      </w:r>
      <w:proofErr w:type="spellStart"/>
      <w:r w:rsidR="001D15C4">
        <w:rPr>
          <w:b/>
          <w:bCs/>
          <w:lang w:eastAsia="zh-CN"/>
        </w:rPr>
        <w:t>gNB</w:t>
      </w:r>
      <w:proofErr w:type="spellEnd"/>
      <w:r w:rsidR="001D15C4">
        <w:rPr>
          <w:b/>
          <w:bCs/>
          <w:lang w:eastAsia="zh-CN"/>
        </w:rPr>
        <w:t xml:space="preserve"> to decide whether to</w:t>
      </w:r>
      <w:r w:rsidR="0086314E" w:rsidRPr="0086314E">
        <w:rPr>
          <w:b/>
          <w:bCs/>
          <w:lang w:eastAsia="zh-CN"/>
        </w:rPr>
        <w:t xml:space="preserve"> de-configure the non-applicable </w:t>
      </w:r>
      <w:r w:rsidR="0086314E" w:rsidRPr="00632FC9">
        <w:rPr>
          <w:b/>
          <w:bCs/>
          <w:i/>
          <w:iCs/>
          <w:lang w:eastAsia="zh-CN"/>
        </w:rPr>
        <w:t>CSI-ReportConfig</w:t>
      </w:r>
      <w:r w:rsidR="0086314E" w:rsidRPr="0086314E">
        <w:rPr>
          <w:b/>
          <w:bCs/>
          <w:lang w:eastAsia="zh-CN"/>
        </w:rPr>
        <w:t xml:space="preserve"> </w:t>
      </w:r>
      <w:r w:rsidR="001D15C4">
        <w:rPr>
          <w:b/>
          <w:bCs/>
          <w:lang w:eastAsia="zh-CN"/>
        </w:rPr>
        <w:t>at</w:t>
      </w:r>
      <w:r w:rsidR="0086314E" w:rsidRPr="0086314E">
        <w:rPr>
          <w:b/>
          <w:bCs/>
          <w:lang w:eastAsia="zh-CN"/>
        </w:rPr>
        <w:t xml:space="preserve"> </w:t>
      </w:r>
      <w:r w:rsidR="001D15C4">
        <w:rPr>
          <w:b/>
          <w:bCs/>
          <w:lang w:eastAsia="zh-CN"/>
        </w:rPr>
        <w:t>S</w:t>
      </w:r>
      <w:r w:rsidR="0086314E" w:rsidRPr="0086314E">
        <w:rPr>
          <w:b/>
          <w:bCs/>
          <w:lang w:eastAsia="zh-CN"/>
        </w:rPr>
        <w:t>tep5</w:t>
      </w:r>
      <w:r w:rsidR="001D15C4">
        <w:rPr>
          <w:b/>
          <w:bCs/>
          <w:lang w:eastAsia="zh-CN"/>
        </w:rPr>
        <w:t xml:space="preserve"> (e.g. for periodic CSI Report configurations) or keep the configurations (in the case of aperiodic or semi-persistent CSI Report configurations)</w:t>
      </w:r>
      <w:r w:rsidR="00632FC9">
        <w:rPr>
          <w:b/>
          <w:bCs/>
          <w:lang w:eastAsia="zh-CN"/>
        </w:rPr>
        <w:t>.</w:t>
      </w:r>
    </w:p>
    <w:p w14:paraId="026F4975" w14:textId="4EE066C9" w:rsidR="00FD11FF" w:rsidRPr="0015188A" w:rsidRDefault="00611E6C" w:rsidP="004B6A3A">
      <w:pPr>
        <w:pStyle w:val="Heading2"/>
        <w:rPr>
          <w:rFonts w:ascii="Arial" w:eastAsia="Times New Roman" w:hAnsi="Arial"/>
          <w:b w:val="0"/>
          <w:sz w:val="28"/>
          <w:szCs w:val="20"/>
          <w:lang w:eastAsia="en-GB"/>
        </w:rPr>
      </w:pPr>
      <w:r>
        <w:rPr>
          <w:rFonts w:ascii="Arial" w:eastAsia="Times New Roman" w:hAnsi="Arial"/>
          <w:b w:val="0"/>
          <w:sz w:val="28"/>
          <w:szCs w:val="20"/>
          <w:lang w:eastAsia="en-GB"/>
        </w:rPr>
        <w:t>A</w:t>
      </w:r>
      <w:r w:rsidR="0015188A" w:rsidRPr="0015188A">
        <w:rPr>
          <w:rFonts w:ascii="Arial" w:eastAsia="Times New Roman" w:hAnsi="Arial"/>
          <w:b w:val="0"/>
          <w:sz w:val="28"/>
          <w:szCs w:val="20"/>
          <w:lang w:eastAsia="en-GB"/>
        </w:rPr>
        <w:t>pplicabilit</w:t>
      </w:r>
      <w:r>
        <w:rPr>
          <w:rFonts w:ascii="Arial" w:eastAsia="Times New Roman" w:hAnsi="Arial"/>
          <w:b w:val="0"/>
          <w:sz w:val="28"/>
          <w:szCs w:val="20"/>
          <w:lang w:eastAsia="en-GB"/>
        </w:rPr>
        <w:t>y status changes</w:t>
      </w:r>
    </w:p>
    <w:p w14:paraId="646F3E6A" w14:textId="5CCE5A94" w:rsidR="003F585A" w:rsidRDefault="00DA78A5" w:rsidP="003F585A">
      <w:pPr>
        <w:overflowPunct w:val="0"/>
        <w:spacing w:before="120"/>
        <w:textAlignment w:val="baseline"/>
        <w:rPr>
          <w:lang w:eastAsia="zh-CN"/>
        </w:rPr>
      </w:pPr>
      <w:r>
        <w:rPr>
          <w:lang w:eastAsia="zh-CN"/>
        </w:rPr>
        <w:t xml:space="preserve">In this section, </w:t>
      </w:r>
      <w:r w:rsidR="0015188A">
        <w:rPr>
          <w:lang w:eastAsia="zh-CN"/>
        </w:rPr>
        <w:t xml:space="preserve">the </w:t>
      </w:r>
      <w:r w:rsidR="004C0913">
        <w:rPr>
          <w:lang w:eastAsia="zh-CN"/>
        </w:rPr>
        <w:t>reporting of the changes</w:t>
      </w:r>
      <w:r w:rsidR="003F585A">
        <w:rPr>
          <w:lang w:eastAsia="zh-CN"/>
        </w:rPr>
        <w:t xml:space="preserve"> of the </w:t>
      </w:r>
      <w:r w:rsidR="003F585A" w:rsidRPr="003F585A">
        <w:rPr>
          <w:lang w:eastAsia="zh-CN"/>
        </w:rPr>
        <w:t>applicab</w:t>
      </w:r>
      <w:r w:rsidR="004C0913">
        <w:rPr>
          <w:lang w:eastAsia="zh-CN"/>
        </w:rPr>
        <w:t>i</w:t>
      </w:r>
      <w:r w:rsidR="003F585A" w:rsidRPr="003F585A">
        <w:rPr>
          <w:lang w:eastAsia="zh-CN"/>
        </w:rPr>
        <w:t>l</w:t>
      </w:r>
      <w:r w:rsidR="004C0913">
        <w:rPr>
          <w:lang w:eastAsia="zh-CN"/>
        </w:rPr>
        <w:t>ity of a</w:t>
      </w:r>
      <w:r w:rsidR="003F585A" w:rsidRPr="003F585A">
        <w:rPr>
          <w:lang w:eastAsia="zh-CN"/>
        </w:rPr>
        <w:t xml:space="preserve"> functionality </w:t>
      </w:r>
      <w:r w:rsidR="004C0913">
        <w:rPr>
          <w:lang w:eastAsia="zh-CN"/>
        </w:rPr>
        <w:t>is discussed based on</w:t>
      </w:r>
      <w:r w:rsidR="00820D98">
        <w:rPr>
          <w:lang w:eastAsia="zh-CN"/>
        </w:rPr>
        <w:t xml:space="preserve"> the following agreement</w:t>
      </w:r>
      <w:r w:rsidR="00B54E59">
        <w:rPr>
          <w:lang w:eastAsia="zh-CN"/>
        </w:rPr>
        <w:t>s</w:t>
      </w:r>
      <w:r w:rsidR="003F585A">
        <w:rPr>
          <w:lang w:eastAsia="zh-CN"/>
        </w:rPr>
        <w:t xml:space="preserve">. </w:t>
      </w:r>
    </w:p>
    <w:p w14:paraId="53F9EBE7" w14:textId="4A8CE60B" w:rsidR="004E3F15" w:rsidRPr="0018342E" w:rsidRDefault="004E3F15" w:rsidP="004A4578">
      <w:pPr>
        <w:pStyle w:val="Doc-text2"/>
        <w:numPr>
          <w:ilvl w:val="0"/>
          <w:numId w:val="18"/>
        </w:numPr>
        <w:pBdr>
          <w:top w:val="single" w:sz="4" w:space="1" w:color="auto"/>
          <w:left w:val="single" w:sz="4" w:space="4" w:color="auto"/>
          <w:bottom w:val="single" w:sz="4" w:space="1" w:color="auto"/>
          <w:right w:val="single" w:sz="4" w:space="4" w:color="auto"/>
        </w:pBdr>
        <w:ind w:left="360"/>
        <w:jc w:val="both"/>
        <w:rPr>
          <w:lang w:val="en-US"/>
        </w:rPr>
      </w:pPr>
      <w:r w:rsidRPr="006F4CE0">
        <w:rPr>
          <w:lang w:val="en-US"/>
        </w:rPr>
        <w:t xml:space="preserve">When a functionality configured by the network to be reported via UAI, becomes from non-applicable to applicable, the UE can report it to the network. </w:t>
      </w:r>
      <w:r>
        <w:rPr>
          <w:lang w:val="en-US"/>
        </w:rPr>
        <w:t xml:space="preserve">  </w:t>
      </w:r>
      <w:r w:rsidRPr="00520A60">
        <w:rPr>
          <w:highlight w:val="yellow"/>
          <w:lang w:val="en-US"/>
        </w:rPr>
        <w:t>FFS</w:t>
      </w:r>
      <w:r w:rsidRPr="006F4CE0">
        <w:rPr>
          <w:lang w:val="en-US"/>
        </w:rPr>
        <w:t xml:space="preserve"> detailed design</w:t>
      </w:r>
    </w:p>
    <w:p w14:paraId="4A6E7A87" w14:textId="0C4DF2B6" w:rsidR="00EB42FD" w:rsidRDefault="00EB42FD" w:rsidP="004A4578">
      <w:pPr>
        <w:pStyle w:val="Doc-text2"/>
        <w:numPr>
          <w:ilvl w:val="0"/>
          <w:numId w:val="18"/>
        </w:numPr>
        <w:pBdr>
          <w:top w:val="single" w:sz="4" w:space="1" w:color="auto"/>
          <w:left w:val="single" w:sz="4" w:space="4" w:color="auto"/>
          <w:bottom w:val="single" w:sz="4" w:space="1" w:color="auto"/>
          <w:right w:val="single" w:sz="4" w:space="4" w:color="auto"/>
        </w:pBdr>
        <w:ind w:left="357" w:hanging="357"/>
        <w:jc w:val="both"/>
        <w:rPr>
          <w:lang w:val="en-US"/>
        </w:rPr>
      </w:pPr>
      <w:r w:rsidRPr="00520A60">
        <w:rPr>
          <w:highlight w:val="yellow"/>
          <w:lang w:val="en-US"/>
        </w:rPr>
        <w:t>FFS</w:t>
      </w:r>
      <w:r w:rsidRPr="00452F28">
        <w:rPr>
          <w:lang w:val="en-US"/>
        </w:rPr>
        <w:t xml:space="preserve"> whether the UE reports explicitly “non-applicable” functionality when there is a change of applicability.   </w:t>
      </w:r>
      <w:r>
        <w:rPr>
          <w:lang w:val="en-US"/>
        </w:rPr>
        <w:t>Verify this aligns with RAN1 configuration design</w:t>
      </w:r>
    </w:p>
    <w:p w14:paraId="4A4DE8A1" w14:textId="29CE4F08" w:rsidR="0018342E" w:rsidRDefault="009500AC" w:rsidP="009500AC">
      <w:pPr>
        <w:overflowPunct w:val="0"/>
        <w:spacing w:before="120"/>
        <w:textAlignment w:val="baseline"/>
        <w:rPr>
          <w:lang w:eastAsia="zh-CN"/>
        </w:rPr>
      </w:pPr>
      <w:r>
        <w:rPr>
          <w:lang w:eastAsia="zh-CN"/>
        </w:rPr>
        <w:t>I</w:t>
      </w:r>
      <w:r w:rsidRPr="00265C54">
        <w:rPr>
          <w:lang w:eastAsia="zh-CN"/>
        </w:rPr>
        <w:t xml:space="preserve">t </w:t>
      </w:r>
      <w:r>
        <w:rPr>
          <w:lang w:eastAsia="zh-CN"/>
        </w:rPr>
        <w:t>seems</w:t>
      </w:r>
      <w:r w:rsidRPr="00265C54">
        <w:rPr>
          <w:lang w:eastAsia="zh-CN"/>
        </w:rPr>
        <w:t xml:space="preserve"> a common understanding that a functionality as indicated by </w:t>
      </w:r>
      <w:r>
        <w:rPr>
          <w:lang w:eastAsia="zh-CN"/>
        </w:rPr>
        <w:t xml:space="preserve">a </w:t>
      </w:r>
      <w:r w:rsidRPr="00265C54">
        <w:rPr>
          <w:lang w:eastAsia="zh-CN"/>
        </w:rPr>
        <w:t>UE may not remain applicable</w:t>
      </w:r>
      <w:r>
        <w:rPr>
          <w:lang w:eastAsia="zh-CN"/>
        </w:rPr>
        <w:t xml:space="preserve"> or non-applicable</w:t>
      </w:r>
      <w:r w:rsidRPr="00265C54">
        <w:rPr>
          <w:lang w:eastAsia="zh-CN"/>
        </w:rPr>
        <w:t xml:space="preserve"> all the time. UE internal conditions and/or NW side conditions</w:t>
      </w:r>
      <w:r>
        <w:rPr>
          <w:lang w:eastAsia="zh-CN"/>
        </w:rPr>
        <w:t xml:space="preserve"> and/or the availability </w:t>
      </w:r>
      <w:r w:rsidR="00F304C9">
        <w:rPr>
          <w:lang w:eastAsia="zh-CN"/>
        </w:rPr>
        <w:t>of the</w:t>
      </w:r>
      <w:r>
        <w:rPr>
          <w:lang w:eastAsia="zh-CN"/>
        </w:rPr>
        <w:t xml:space="preserve"> functionality</w:t>
      </w:r>
      <w:r w:rsidRPr="00265C54">
        <w:rPr>
          <w:lang w:eastAsia="zh-CN"/>
        </w:rPr>
        <w:t xml:space="preserve"> can impact the status of the functionality. </w:t>
      </w:r>
      <w:r>
        <w:rPr>
          <w:lang w:eastAsia="zh-CN"/>
        </w:rPr>
        <w:t>The statu</w:t>
      </w:r>
      <w:r w:rsidR="0036345C">
        <w:rPr>
          <w:lang w:eastAsia="zh-CN"/>
        </w:rPr>
        <w:t>s</w:t>
      </w:r>
      <w:r>
        <w:rPr>
          <w:lang w:eastAsia="zh-CN"/>
        </w:rPr>
        <w:t xml:space="preserve"> of a</w:t>
      </w:r>
      <w:r w:rsidRPr="009500AC">
        <w:rPr>
          <w:lang w:eastAsia="zh-CN"/>
        </w:rPr>
        <w:t xml:space="preserve"> functionality </w:t>
      </w:r>
      <w:r w:rsidR="0036345C">
        <w:rPr>
          <w:lang w:eastAsia="zh-CN"/>
        </w:rPr>
        <w:t xml:space="preserve">may </w:t>
      </w:r>
      <w:r>
        <w:rPr>
          <w:lang w:eastAsia="zh-CN"/>
        </w:rPr>
        <w:t>change from “non-applicable” to “</w:t>
      </w:r>
      <w:r w:rsidRPr="009500AC">
        <w:rPr>
          <w:lang w:eastAsia="zh-CN"/>
        </w:rPr>
        <w:t>applica</w:t>
      </w:r>
      <w:r>
        <w:rPr>
          <w:lang w:eastAsia="zh-CN"/>
        </w:rPr>
        <w:t>ble” or from “applicable” to “non-</w:t>
      </w:r>
      <w:r w:rsidRPr="009500AC">
        <w:rPr>
          <w:lang w:eastAsia="zh-CN"/>
        </w:rPr>
        <w:t>applica</w:t>
      </w:r>
      <w:r>
        <w:rPr>
          <w:lang w:eastAsia="zh-CN"/>
        </w:rPr>
        <w:t>ble”</w:t>
      </w:r>
      <w:r>
        <w:rPr>
          <w:rFonts w:hint="eastAsia"/>
          <w:lang w:eastAsia="zh-CN"/>
        </w:rPr>
        <w:t>.</w:t>
      </w:r>
      <w:r>
        <w:rPr>
          <w:lang w:eastAsia="zh-CN"/>
        </w:rPr>
        <w:t xml:space="preserve"> </w:t>
      </w:r>
      <w:r w:rsidRPr="00265C54">
        <w:rPr>
          <w:lang w:eastAsia="zh-CN"/>
        </w:rPr>
        <w:t>Once an applicable functionality is activated, the functionality has to be deactivated if it becomes non-applicable, otherwise system performance will degrad</w:t>
      </w:r>
      <w:r w:rsidR="0036345C">
        <w:rPr>
          <w:lang w:eastAsia="zh-CN"/>
        </w:rPr>
        <w:t>e</w:t>
      </w:r>
      <w:r w:rsidRPr="00265C54">
        <w:rPr>
          <w:lang w:eastAsia="zh-CN"/>
        </w:rPr>
        <w:t xml:space="preserve">. </w:t>
      </w:r>
      <w:r w:rsidR="0018342E">
        <w:rPr>
          <w:rFonts w:hint="eastAsia"/>
          <w:lang w:eastAsia="zh-CN"/>
        </w:rPr>
        <w:t>S</w:t>
      </w:r>
      <w:r w:rsidR="0018342E">
        <w:rPr>
          <w:lang w:eastAsia="zh-CN"/>
        </w:rPr>
        <w:t xml:space="preserve">o, when applicable functionality was requested by the network before, if the previous applicable functionality becomes non-applicable, this status change shall </w:t>
      </w:r>
      <w:r w:rsidR="00B54E59">
        <w:rPr>
          <w:lang w:eastAsia="zh-CN"/>
        </w:rPr>
        <w:t>be</w:t>
      </w:r>
      <w:r w:rsidR="0018342E">
        <w:rPr>
          <w:lang w:eastAsia="zh-CN"/>
        </w:rPr>
        <w:t xml:space="preserve"> report</w:t>
      </w:r>
      <w:r w:rsidR="00B54E59">
        <w:rPr>
          <w:lang w:eastAsia="zh-CN"/>
        </w:rPr>
        <w:t>ed</w:t>
      </w:r>
      <w:r w:rsidR="0018342E">
        <w:rPr>
          <w:lang w:eastAsia="zh-CN"/>
        </w:rPr>
        <w:t xml:space="preserve"> to network, because the network should know as soon as possible to avoid performance degrade and to avoid too frequent signaling with prohibit timer as usual.</w:t>
      </w:r>
    </w:p>
    <w:p w14:paraId="5AF61324" w14:textId="35EF6A7F" w:rsidR="00D726F5" w:rsidRDefault="00A75806" w:rsidP="00D726F5">
      <w:pPr>
        <w:rPr>
          <w:lang w:eastAsia="zh-CN"/>
        </w:rPr>
      </w:pPr>
      <w:r>
        <w:rPr>
          <w:lang w:eastAsia="zh-CN"/>
        </w:rPr>
        <w:t xml:space="preserve">There is an FFS </w:t>
      </w:r>
      <w:r w:rsidR="0092614D">
        <w:rPr>
          <w:lang w:eastAsia="zh-CN"/>
        </w:rPr>
        <w:t xml:space="preserve">on whether </w:t>
      </w:r>
      <w:r>
        <w:rPr>
          <w:lang w:eastAsia="zh-CN"/>
        </w:rPr>
        <w:t xml:space="preserve">status change </w:t>
      </w:r>
      <w:r w:rsidR="0092614D">
        <w:rPr>
          <w:lang w:eastAsia="zh-CN"/>
        </w:rPr>
        <w:t xml:space="preserve">information needs to be </w:t>
      </w:r>
      <w:r>
        <w:rPr>
          <w:lang w:eastAsia="zh-CN"/>
        </w:rPr>
        <w:t xml:space="preserve">signaled </w:t>
      </w:r>
      <w:r w:rsidR="0092614D">
        <w:rPr>
          <w:lang w:eastAsia="zh-CN"/>
        </w:rPr>
        <w:t>explicit</w:t>
      </w:r>
      <w:r w:rsidR="00275DDE">
        <w:rPr>
          <w:lang w:eastAsia="zh-CN"/>
        </w:rPr>
        <w:t>ly</w:t>
      </w:r>
      <w:r>
        <w:rPr>
          <w:lang w:eastAsia="zh-CN"/>
        </w:rPr>
        <w:t xml:space="preserve"> or </w:t>
      </w:r>
      <w:r w:rsidR="0092614D">
        <w:rPr>
          <w:lang w:eastAsia="zh-CN"/>
        </w:rPr>
        <w:t>implicit</w:t>
      </w:r>
      <w:r w:rsidR="00275DDE">
        <w:rPr>
          <w:lang w:eastAsia="zh-CN"/>
        </w:rPr>
        <w:t>ly</w:t>
      </w:r>
      <w:r>
        <w:rPr>
          <w:lang w:eastAsia="zh-CN"/>
        </w:rPr>
        <w:t xml:space="preserve">. We believe that </w:t>
      </w:r>
      <w:r w:rsidR="0092614D">
        <w:rPr>
          <w:lang w:eastAsia="zh-CN"/>
        </w:rPr>
        <w:t>the non-applicable functionalities do not need to be indicated explicitly (</w:t>
      </w:r>
      <w:r w:rsidR="0018342E">
        <w:rPr>
          <w:lang w:eastAsia="zh-CN"/>
        </w:rPr>
        <w:t>i.e.,</w:t>
      </w:r>
      <w:r w:rsidR="0092614D">
        <w:rPr>
          <w:lang w:eastAsia="zh-CN"/>
        </w:rPr>
        <w:t xml:space="preserve"> </w:t>
      </w:r>
      <w:r w:rsidR="0092614D">
        <w:t>the UE always reports only applicable functionalities)</w:t>
      </w:r>
      <w:r>
        <w:t xml:space="preserve"> and</w:t>
      </w:r>
      <w:r w:rsidR="0092614D">
        <w:rPr>
          <w:lang w:eastAsia="zh-CN"/>
        </w:rPr>
        <w:t xml:space="preserve"> NW can assume that functionalities not reported in the applicable functionality reporting in Step 4 as non-applicable. </w:t>
      </w:r>
      <w:r w:rsidR="00D726F5">
        <w:rPr>
          <w:lang w:eastAsia="zh-CN"/>
        </w:rPr>
        <w:t xml:space="preserve">Here is a simple example as the format below. </w:t>
      </w:r>
      <w:r w:rsidR="00D726F5" w:rsidRPr="0018342E">
        <w:rPr>
          <w:lang w:eastAsia="zh-CN"/>
        </w:rPr>
        <w:t>it is assumed that the NW sends functionality related config in step 3, and then the UE sends the applicability report in RRC complete message</w:t>
      </w:r>
      <w:r w:rsidR="00D726F5">
        <w:rPr>
          <w:lang w:eastAsia="zh-CN"/>
        </w:rPr>
        <w:t xml:space="preserve"> at first time</w:t>
      </w:r>
      <w:r w:rsidR="00D726F5" w:rsidRPr="0018342E">
        <w:rPr>
          <w:lang w:eastAsia="zh-CN"/>
        </w:rPr>
        <w:t>, and then sends UAI for possible updates. For green highlighted part, the UE should report the relevant functionality explicitly</w:t>
      </w:r>
      <w:r w:rsidR="00D726F5">
        <w:rPr>
          <w:lang w:eastAsia="zh-CN"/>
        </w:rPr>
        <w:t xml:space="preserve">. </w:t>
      </w:r>
    </w:p>
    <w:tbl>
      <w:tblPr>
        <w:tblW w:w="9360" w:type="dxa"/>
        <w:tblCellMar>
          <w:left w:w="0" w:type="dxa"/>
          <w:right w:w="0" w:type="dxa"/>
        </w:tblCellMar>
        <w:tblLook w:val="04A0" w:firstRow="1" w:lastRow="0" w:firstColumn="1" w:lastColumn="0" w:noHBand="0" w:noVBand="1"/>
      </w:tblPr>
      <w:tblGrid>
        <w:gridCol w:w="1872"/>
        <w:gridCol w:w="1872"/>
        <w:gridCol w:w="1872"/>
        <w:gridCol w:w="1872"/>
        <w:gridCol w:w="1872"/>
      </w:tblGrid>
      <w:tr w:rsidR="00D726F5" w:rsidRPr="0018342E" w14:paraId="2096CBCE" w14:textId="77777777" w:rsidTr="00A2616E">
        <w:trPr>
          <w:trHeight w:val="290"/>
        </w:trPr>
        <w:tc>
          <w:tcPr>
            <w:tcW w:w="1872" w:type="dxa"/>
            <w:tcBorders>
              <w:top w:val="single" w:sz="4" w:space="0" w:color="7F0000"/>
              <w:left w:val="single" w:sz="4" w:space="0" w:color="7F0000"/>
              <w:bottom w:val="single" w:sz="4" w:space="0" w:color="7F0000"/>
              <w:right w:val="nil"/>
            </w:tcBorders>
            <w:shd w:val="clear" w:color="auto" w:fill="7F0000"/>
            <w:tcMar>
              <w:top w:w="15" w:type="dxa"/>
              <w:left w:w="108" w:type="dxa"/>
              <w:bottom w:w="0" w:type="dxa"/>
              <w:right w:w="108" w:type="dxa"/>
            </w:tcMar>
            <w:hideMark/>
          </w:tcPr>
          <w:p w14:paraId="2D493009" w14:textId="77777777" w:rsidR="00D726F5" w:rsidRPr="0018342E" w:rsidRDefault="00D726F5" w:rsidP="00A2616E">
            <w:pPr>
              <w:overflowPunct w:val="0"/>
              <w:spacing w:after="0"/>
              <w:textAlignment w:val="baseline"/>
              <w:rPr>
                <w:lang w:eastAsia="zh-CN"/>
              </w:rPr>
            </w:pPr>
            <w:r w:rsidRPr="0018342E">
              <w:rPr>
                <w:b/>
                <w:bCs/>
                <w:lang w:val="en-GB" w:eastAsia="zh-CN"/>
              </w:rPr>
              <w:t> </w:t>
            </w:r>
          </w:p>
        </w:tc>
        <w:tc>
          <w:tcPr>
            <w:tcW w:w="1872" w:type="dxa"/>
            <w:tcBorders>
              <w:top w:val="single" w:sz="4" w:space="0" w:color="7F0000"/>
              <w:left w:val="nil"/>
              <w:bottom w:val="single" w:sz="4" w:space="0" w:color="7F0000"/>
              <w:right w:val="nil"/>
            </w:tcBorders>
            <w:shd w:val="clear" w:color="auto" w:fill="7F0000"/>
            <w:tcMar>
              <w:top w:w="15" w:type="dxa"/>
              <w:left w:w="108" w:type="dxa"/>
              <w:bottom w:w="0" w:type="dxa"/>
              <w:right w:w="108" w:type="dxa"/>
            </w:tcMar>
            <w:hideMark/>
          </w:tcPr>
          <w:p w14:paraId="6BC48895" w14:textId="77777777" w:rsidR="00D726F5" w:rsidRPr="0018342E" w:rsidRDefault="00D726F5" w:rsidP="00A2616E">
            <w:pPr>
              <w:overflowPunct w:val="0"/>
              <w:spacing w:after="0"/>
              <w:textAlignment w:val="baseline"/>
              <w:rPr>
                <w:lang w:eastAsia="zh-CN"/>
              </w:rPr>
            </w:pPr>
            <w:r w:rsidRPr="0018342E">
              <w:rPr>
                <w:b/>
                <w:bCs/>
                <w:lang w:val="en-GB" w:eastAsia="zh-CN"/>
              </w:rPr>
              <w:t>T0 (Complete)</w:t>
            </w:r>
          </w:p>
        </w:tc>
        <w:tc>
          <w:tcPr>
            <w:tcW w:w="1872" w:type="dxa"/>
            <w:tcBorders>
              <w:top w:val="single" w:sz="4" w:space="0" w:color="7F0000"/>
              <w:left w:val="nil"/>
              <w:bottom w:val="single" w:sz="4" w:space="0" w:color="7F0000"/>
              <w:right w:val="nil"/>
            </w:tcBorders>
            <w:shd w:val="clear" w:color="auto" w:fill="7F0000"/>
            <w:tcMar>
              <w:top w:w="15" w:type="dxa"/>
              <w:left w:w="108" w:type="dxa"/>
              <w:bottom w:w="0" w:type="dxa"/>
              <w:right w:w="108" w:type="dxa"/>
            </w:tcMar>
            <w:hideMark/>
          </w:tcPr>
          <w:p w14:paraId="6DB8A89F" w14:textId="77777777" w:rsidR="00D726F5" w:rsidRPr="0018342E" w:rsidRDefault="00D726F5" w:rsidP="00A2616E">
            <w:pPr>
              <w:overflowPunct w:val="0"/>
              <w:spacing w:after="0"/>
              <w:textAlignment w:val="baseline"/>
              <w:rPr>
                <w:lang w:eastAsia="zh-CN"/>
              </w:rPr>
            </w:pPr>
            <w:r w:rsidRPr="0018342E">
              <w:rPr>
                <w:b/>
                <w:bCs/>
                <w:lang w:val="en-GB" w:eastAsia="zh-CN"/>
              </w:rPr>
              <w:t>T1 (UAI)</w:t>
            </w:r>
          </w:p>
        </w:tc>
        <w:tc>
          <w:tcPr>
            <w:tcW w:w="1872" w:type="dxa"/>
            <w:tcBorders>
              <w:top w:val="single" w:sz="4" w:space="0" w:color="7F0000"/>
              <w:left w:val="nil"/>
              <w:bottom w:val="single" w:sz="4" w:space="0" w:color="7F0000"/>
              <w:right w:val="nil"/>
            </w:tcBorders>
            <w:shd w:val="clear" w:color="auto" w:fill="7F0000"/>
            <w:tcMar>
              <w:top w:w="15" w:type="dxa"/>
              <w:left w:w="108" w:type="dxa"/>
              <w:bottom w:w="0" w:type="dxa"/>
              <w:right w:w="108" w:type="dxa"/>
            </w:tcMar>
            <w:hideMark/>
          </w:tcPr>
          <w:p w14:paraId="6029DC90" w14:textId="77777777" w:rsidR="00D726F5" w:rsidRPr="0018342E" w:rsidRDefault="00D726F5" w:rsidP="00A2616E">
            <w:pPr>
              <w:overflowPunct w:val="0"/>
              <w:spacing w:after="0"/>
              <w:textAlignment w:val="baseline"/>
              <w:rPr>
                <w:lang w:eastAsia="zh-CN"/>
              </w:rPr>
            </w:pPr>
            <w:r w:rsidRPr="0018342E">
              <w:rPr>
                <w:b/>
                <w:bCs/>
                <w:lang w:val="en-GB" w:eastAsia="zh-CN"/>
              </w:rPr>
              <w:t>T2 (UAI)</w:t>
            </w:r>
          </w:p>
        </w:tc>
        <w:tc>
          <w:tcPr>
            <w:tcW w:w="1872" w:type="dxa"/>
            <w:tcBorders>
              <w:top w:val="single" w:sz="4" w:space="0" w:color="7F0000"/>
              <w:left w:val="nil"/>
              <w:bottom w:val="single" w:sz="4" w:space="0" w:color="7F0000"/>
              <w:right w:val="single" w:sz="4" w:space="0" w:color="7F0000"/>
            </w:tcBorders>
            <w:shd w:val="clear" w:color="auto" w:fill="7F0000"/>
            <w:tcMar>
              <w:top w:w="15" w:type="dxa"/>
              <w:left w:w="108" w:type="dxa"/>
              <w:bottom w:w="0" w:type="dxa"/>
              <w:right w:w="108" w:type="dxa"/>
            </w:tcMar>
            <w:hideMark/>
          </w:tcPr>
          <w:p w14:paraId="40FF6371" w14:textId="77777777" w:rsidR="00D726F5" w:rsidRPr="0018342E" w:rsidRDefault="00D726F5" w:rsidP="00A2616E">
            <w:pPr>
              <w:overflowPunct w:val="0"/>
              <w:spacing w:after="0"/>
              <w:textAlignment w:val="baseline"/>
              <w:rPr>
                <w:lang w:eastAsia="zh-CN"/>
              </w:rPr>
            </w:pPr>
            <w:r w:rsidRPr="0018342E">
              <w:rPr>
                <w:b/>
                <w:bCs/>
                <w:lang w:val="en-GB" w:eastAsia="zh-CN"/>
              </w:rPr>
              <w:t>T3 (UAI)</w:t>
            </w:r>
          </w:p>
        </w:tc>
      </w:tr>
      <w:tr w:rsidR="00D726F5" w:rsidRPr="0018342E" w14:paraId="29CC5E12" w14:textId="77777777" w:rsidTr="00A2616E">
        <w:trPr>
          <w:trHeight w:val="294"/>
        </w:trPr>
        <w:tc>
          <w:tcPr>
            <w:tcW w:w="1872" w:type="dxa"/>
            <w:tcBorders>
              <w:top w:val="single" w:sz="4" w:space="0" w:color="7F0000"/>
              <w:left w:val="single" w:sz="4" w:space="0" w:color="7F0000"/>
              <w:bottom w:val="single" w:sz="4" w:space="0" w:color="7F0000"/>
              <w:right w:val="nil"/>
            </w:tcBorders>
            <w:shd w:val="clear" w:color="auto" w:fill="auto"/>
            <w:tcMar>
              <w:top w:w="15" w:type="dxa"/>
              <w:left w:w="108" w:type="dxa"/>
              <w:bottom w:w="0" w:type="dxa"/>
              <w:right w:w="108" w:type="dxa"/>
            </w:tcMar>
            <w:hideMark/>
          </w:tcPr>
          <w:p w14:paraId="54156AF0" w14:textId="77777777" w:rsidR="00D726F5" w:rsidRPr="0018342E" w:rsidRDefault="00D726F5" w:rsidP="00A2616E">
            <w:pPr>
              <w:overflowPunct w:val="0"/>
              <w:spacing w:after="0"/>
              <w:textAlignment w:val="baseline"/>
              <w:rPr>
                <w:lang w:eastAsia="zh-CN"/>
              </w:rPr>
            </w:pPr>
            <w:r w:rsidRPr="0018342E">
              <w:rPr>
                <w:b/>
                <w:bCs/>
                <w:lang w:val="en-GB" w:eastAsia="zh-CN"/>
              </w:rPr>
              <w:t>Func#1</w:t>
            </w:r>
          </w:p>
        </w:tc>
        <w:tc>
          <w:tcPr>
            <w:tcW w:w="1872" w:type="dxa"/>
            <w:tcBorders>
              <w:top w:val="single" w:sz="4" w:space="0" w:color="7F0000"/>
              <w:left w:val="nil"/>
              <w:bottom w:val="single" w:sz="4" w:space="0" w:color="7F0000"/>
              <w:right w:val="nil"/>
            </w:tcBorders>
            <w:shd w:val="clear" w:color="auto" w:fill="auto"/>
            <w:tcMar>
              <w:top w:w="15" w:type="dxa"/>
              <w:left w:w="108" w:type="dxa"/>
              <w:bottom w:w="0" w:type="dxa"/>
              <w:right w:w="108" w:type="dxa"/>
            </w:tcMar>
            <w:hideMark/>
          </w:tcPr>
          <w:p w14:paraId="54B44F81" w14:textId="77777777" w:rsidR="00D726F5" w:rsidRPr="0018342E" w:rsidRDefault="00D726F5" w:rsidP="00A2616E">
            <w:pPr>
              <w:overflowPunct w:val="0"/>
              <w:spacing w:after="0"/>
              <w:textAlignment w:val="baseline"/>
              <w:rPr>
                <w:lang w:eastAsia="zh-CN"/>
              </w:rPr>
            </w:pPr>
            <w:r w:rsidRPr="0018342E">
              <w:rPr>
                <w:highlight w:val="green"/>
                <w:lang w:val="en-GB" w:eastAsia="zh-CN"/>
              </w:rPr>
              <w:t>Applicable</w:t>
            </w:r>
          </w:p>
        </w:tc>
        <w:tc>
          <w:tcPr>
            <w:tcW w:w="1872" w:type="dxa"/>
            <w:tcBorders>
              <w:top w:val="single" w:sz="4" w:space="0" w:color="7F0000"/>
              <w:left w:val="nil"/>
              <w:bottom w:val="single" w:sz="4" w:space="0" w:color="7F0000"/>
              <w:right w:val="nil"/>
            </w:tcBorders>
            <w:shd w:val="clear" w:color="auto" w:fill="auto"/>
            <w:tcMar>
              <w:top w:w="15" w:type="dxa"/>
              <w:left w:w="108" w:type="dxa"/>
              <w:bottom w:w="0" w:type="dxa"/>
              <w:right w:w="108" w:type="dxa"/>
            </w:tcMar>
            <w:hideMark/>
          </w:tcPr>
          <w:p w14:paraId="245AEB4C" w14:textId="77777777" w:rsidR="00D726F5" w:rsidRPr="0018342E" w:rsidRDefault="00D726F5" w:rsidP="00A2616E">
            <w:pPr>
              <w:overflowPunct w:val="0"/>
              <w:spacing w:after="0"/>
              <w:textAlignment w:val="baseline"/>
              <w:rPr>
                <w:lang w:eastAsia="zh-CN"/>
              </w:rPr>
            </w:pPr>
            <w:r w:rsidRPr="0018342E">
              <w:rPr>
                <w:lang w:val="en-GB" w:eastAsia="zh-CN"/>
              </w:rPr>
              <w:t>Non-applicable</w:t>
            </w:r>
          </w:p>
        </w:tc>
        <w:tc>
          <w:tcPr>
            <w:tcW w:w="1872" w:type="dxa"/>
            <w:tcBorders>
              <w:top w:val="single" w:sz="4" w:space="0" w:color="7F0000"/>
              <w:left w:val="nil"/>
              <w:bottom w:val="single" w:sz="4" w:space="0" w:color="7F0000"/>
              <w:right w:val="nil"/>
            </w:tcBorders>
            <w:shd w:val="clear" w:color="auto" w:fill="auto"/>
            <w:tcMar>
              <w:top w:w="15" w:type="dxa"/>
              <w:left w:w="108" w:type="dxa"/>
              <w:bottom w:w="0" w:type="dxa"/>
              <w:right w:w="108" w:type="dxa"/>
            </w:tcMar>
            <w:hideMark/>
          </w:tcPr>
          <w:p w14:paraId="4F017782" w14:textId="77777777" w:rsidR="00D726F5" w:rsidRPr="0018342E" w:rsidRDefault="00D726F5" w:rsidP="00A2616E">
            <w:pPr>
              <w:overflowPunct w:val="0"/>
              <w:spacing w:after="0"/>
              <w:textAlignment w:val="baseline"/>
              <w:rPr>
                <w:lang w:eastAsia="zh-CN"/>
              </w:rPr>
            </w:pPr>
            <w:r w:rsidRPr="0018342E">
              <w:rPr>
                <w:highlight w:val="green"/>
                <w:lang w:val="en-GB" w:eastAsia="zh-CN"/>
              </w:rPr>
              <w:t>Applicable</w:t>
            </w:r>
          </w:p>
        </w:tc>
        <w:tc>
          <w:tcPr>
            <w:tcW w:w="1872" w:type="dxa"/>
            <w:tcBorders>
              <w:top w:val="single" w:sz="4" w:space="0" w:color="7F0000"/>
              <w:left w:val="nil"/>
              <w:bottom w:val="single" w:sz="4" w:space="0" w:color="7F0000"/>
              <w:right w:val="single" w:sz="4" w:space="0" w:color="7F0000"/>
            </w:tcBorders>
            <w:shd w:val="clear" w:color="auto" w:fill="auto"/>
            <w:tcMar>
              <w:top w:w="15" w:type="dxa"/>
              <w:left w:w="108" w:type="dxa"/>
              <w:bottom w:w="0" w:type="dxa"/>
              <w:right w:w="108" w:type="dxa"/>
            </w:tcMar>
            <w:hideMark/>
          </w:tcPr>
          <w:p w14:paraId="06529936" w14:textId="77777777" w:rsidR="00D726F5" w:rsidRPr="0018342E" w:rsidRDefault="00D726F5" w:rsidP="00A2616E">
            <w:pPr>
              <w:overflowPunct w:val="0"/>
              <w:spacing w:after="0"/>
              <w:textAlignment w:val="baseline"/>
              <w:rPr>
                <w:lang w:eastAsia="zh-CN"/>
              </w:rPr>
            </w:pPr>
            <w:r w:rsidRPr="0018342E">
              <w:rPr>
                <w:lang w:val="en-GB" w:eastAsia="zh-CN"/>
              </w:rPr>
              <w:t>Applicable</w:t>
            </w:r>
          </w:p>
        </w:tc>
      </w:tr>
      <w:tr w:rsidR="00D726F5" w:rsidRPr="0018342E" w14:paraId="6023A66B" w14:textId="77777777" w:rsidTr="00A2616E">
        <w:trPr>
          <w:trHeight w:val="290"/>
        </w:trPr>
        <w:tc>
          <w:tcPr>
            <w:tcW w:w="1872" w:type="dxa"/>
            <w:tcBorders>
              <w:top w:val="single" w:sz="4" w:space="0" w:color="7F0000"/>
              <w:left w:val="single" w:sz="4" w:space="0" w:color="7F0000"/>
              <w:bottom w:val="single" w:sz="4" w:space="0" w:color="7F0000"/>
              <w:right w:val="nil"/>
            </w:tcBorders>
            <w:shd w:val="clear" w:color="auto" w:fill="auto"/>
            <w:tcMar>
              <w:top w:w="15" w:type="dxa"/>
              <w:left w:w="108" w:type="dxa"/>
              <w:bottom w:w="0" w:type="dxa"/>
              <w:right w:w="108" w:type="dxa"/>
            </w:tcMar>
            <w:hideMark/>
          </w:tcPr>
          <w:p w14:paraId="2041ADE2" w14:textId="77777777" w:rsidR="00D726F5" w:rsidRPr="0018342E" w:rsidRDefault="00D726F5" w:rsidP="00A2616E">
            <w:pPr>
              <w:overflowPunct w:val="0"/>
              <w:spacing w:after="0"/>
              <w:textAlignment w:val="baseline"/>
              <w:rPr>
                <w:lang w:eastAsia="zh-CN"/>
              </w:rPr>
            </w:pPr>
            <w:r w:rsidRPr="0018342E">
              <w:rPr>
                <w:b/>
                <w:bCs/>
                <w:lang w:val="en-GB" w:eastAsia="zh-CN"/>
              </w:rPr>
              <w:t>Func#2</w:t>
            </w:r>
          </w:p>
        </w:tc>
        <w:tc>
          <w:tcPr>
            <w:tcW w:w="1872" w:type="dxa"/>
            <w:tcBorders>
              <w:top w:val="single" w:sz="4" w:space="0" w:color="7F0000"/>
              <w:left w:val="nil"/>
              <w:bottom w:val="single" w:sz="4" w:space="0" w:color="7F0000"/>
              <w:right w:val="nil"/>
            </w:tcBorders>
            <w:shd w:val="clear" w:color="auto" w:fill="auto"/>
            <w:tcMar>
              <w:top w:w="15" w:type="dxa"/>
              <w:left w:w="108" w:type="dxa"/>
              <w:bottom w:w="0" w:type="dxa"/>
              <w:right w:w="108" w:type="dxa"/>
            </w:tcMar>
            <w:hideMark/>
          </w:tcPr>
          <w:p w14:paraId="12B88CAC" w14:textId="77777777" w:rsidR="00D726F5" w:rsidRPr="0018342E" w:rsidRDefault="00D726F5" w:rsidP="00A2616E">
            <w:pPr>
              <w:overflowPunct w:val="0"/>
              <w:spacing w:after="0"/>
              <w:textAlignment w:val="baseline"/>
              <w:rPr>
                <w:lang w:eastAsia="zh-CN"/>
              </w:rPr>
            </w:pPr>
            <w:r w:rsidRPr="0018342E">
              <w:rPr>
                <w:lang w:val="en-GB" w:eastAsia="zh-CN"/>
              </w:rPr>
              <w:t>Non-applicable</w:t>
            </w:r>
          </w:p>
        </w:tc>
        <w:tc>
          <w:tcPr>
            <w:tcW w:w="1872" w:type="dxa"/>
            <w:tcBorders>
              <w:top w:val="single" w:sz="4" w:space="0" w:color="7F0000"/>
              <w:left w:val="nil"/>
              <w:bottom w:val="single" w:sz="4" w:space="0" w:color="7F0000"/>
              <w:right w:val="nil"/>
            </w:tcBorders>
            <w:shd w:val="clear" w:color="auto" w:fill="auto"/>
            <w:tcMar>
              <w:top w:w="15" w:type="dxa"/>
              <w:left w:w="108" w:type="dxa"/>
              <w:bottom w:w="0" w:type="dxa"/>
              <w:right w:w="108" w:type="dxa"/>
            </w:tcMar>
            <w:hideMark/>
          </w:tcPr>
          <w:p w14:paraId="4CF96698" w14:textId="77777777" w:rsidR="00D726F5" w:rsidRPr="0018342E" w:rsidRDefault="00D726F5" w:rsidP="00A2616E">
            <w:pPr>
              <w:overflowPunct w:val="0"/>
              <w:spacing w:after="0"/>
              <w:textAlignment w:val="baseline"/>
              <w:rPr>
                <w:lang w:eastAsia="zh-CN"/>
              </w:rPr>
            </w:pPr>
            <w:r w:rsidRPr="0018342E">
              <w:rPr>
                <w:lang w:val="en-GB" w:eastAsia="zh-CN"/>
              </w:rPr>
              <w:t>Non-applicable</w:t>
            </w:r>
          </w:p>
        </w:tc>
        <w:tc>
          <w:tcPr>
            <w:tcW w:w="1872" w:type="dxa"/>
            <w:tcBorders>
              <w:top w:val="single" w:sz="4" w:space="0" w:color="7F0000"/>
              <w:left w:val="nil"/>
              <w:bottom w:val="single" w:sz="4" w:space="0" w:color="7F0000"/>
              <w:right w:val="nil"/>
            </w:tcBorders>
            <w:shd w:val="clear" w:color="auto" w:fill="auto"/>
            <w:tcMar>
              <w:top w:w="15" w:type="dxa"/>
              <w:left w:w="108" w:type="dxa"/>
              <w:bottom w:w="0" w:type="dxa"/>
              <w:right w:w="108" w:type="dxa"/>
            </w:tcMar>
            <w:hideMark/>
          </w:tcPr>
          <w:p w14:paraId="16E1B355" w14:textId="77777777" w:rsidR="00D726F5" w:rsidRPr="0018342E" w:rsidRDefault="00D726F5" w:rsidP="00A2616E">
            <w:pPr>
              <w:overflowPunct w:val="0"/>
              <w:spacing w:after="0"/>
              <w:textAlignment w:val="baseline"/>
              <w:rPr>
                <w:lang w:eastAsia="zh-CN"/>
              </w:rPr>
            </w:pPr>
            <w:r w:rsidRPr="0018342E">
              <w:rPr>
                <w:highlight w:val="green"/>
                <w:lang w:val="en-GB" w:eastAsia="zh-CN"/>
              </w:rPr>
              <w:t>Applicable</w:t>
            </w:r>
          </w:p>
        </w:tc>
        <w:tc>
          <w:tcPr>
            <w:tcW w:w="1872" w:type="dxa"/>
            <w:tcBorders>
              <w:top w:val="single" w:sz="4" w:space="0" w:color="7F0000"/>
              <w:left w:val="nil"/>
              <w:bottom w:val="single" w:sz="4" w:space="0" w:color="7F0000"/>
              <w:right w:val="single" w:sz="4" w:space="0" w:color="7F0000"/>
            </w:tcBorders>
            <w:shd w:val="clear" w:color="auto" w:fill="auto"/>
            <w:tcMar>
              <w:top w:w="15" w:type="dxa"/>
              <w:left w:w="108" w:type="dxa"/>
              <w:bottom w:w="0" w:type="dxa"/>
              <w:right w:w="108" w:type="dxa"/>
            </w:tcMar>
            <w:hideMark/>
          </w:tcPr>
          <w:p w14:paraId="6BA97CBF" w14:textId="77777777" w:rsidR="00D726F5" w:rsidRPr="0018342E" w:rsidRDefault="00D726F5" w:rsidP="00A2616E">
            <w:pPr>
              <w:overflowPunct w:val="0"/>
              <w:spacing w:after="0"/>
              <w:textAlignment w:val="baseline"/>
              <w:rPr>
                <w:lang w:eastAsia="zh-CN"/>
              </w:rPr>
            </w:pPr>
            <w:r w:rsidRPr="0018342E">
              <w:rPr>
                <w:highlight w:val="yellow"/>
                <w:lang w:val="en-GB" w:eastAsia="zh-CN"/>
              </w:rPr>
              <w:t>Non-applicable</w:t>
            </w:r>
          </w:p>
        </w:tc>
      </w:tr>
      <w:tr w:rsidR="00D726F5" w:rsidRPr="0018342E" w14:paraId="68613525" w14:textId="77777777" w:rsidTr="00A2616E">
        <w:trPr>
          <w:trHeight w:val="290"/>
        </w:trPr>
        <w:tc>
          <w:tcPr>
            <w:tcW w:w="1872" w:type="dxa"/>
            <w:tcBorders>
              <w:top w:val="single" w:sz="4" w:space="0" w:color="7F0000"/>
              <w:left w:val="single" w:sz="4" w:space="0" w:color="7F0000"/>
              <w:bottom w:val="single" w:sz="4" w:space="0" w:color="7F0000"/>
              <w:right w:val="nil"/>
            </w:tcBorders>
            <w:shd w:val="clear" w:color="auto" w:fill="auto"/>
            <w:tcMar>
              <w:top w:w="15" w:type="dxa"/>
              <w:left w:w="108" w:type="dxa"/>
              <w:bottom w:w="0" w:type="dxa"/>
              <w:right w:w="108" w:type="dxa"/>
            </w:tcMar>
            <w:hideMark/>
          </w:tcPr>
          <w:p w14:paraId="52B43A9A" w14:textId="77777777" w:rsidR="00D726F5" w:rsidRPr="0018342E" w:rsidRDefault="00D726F5" w:rsidP="00A2616E">
            <w:pPr>
              <w:overflowPunct w:val="0"/>
              <w:spacing w:after="0"/>
              <w:textAlignment w:val="baseline"/>
              <w:rPr>
                <w:lang w:eastAsia="zh-CN"/>
              </w:rPr>
            </w:pPr>
            <w:r w:rsidRPr="0018342E">
              <w:rPr>
                <w:b/>
                <w:bCs/>
                <w:lang w:val="en-GB" w:eastAsia="zh-CN"/>
              </w:rPr>
              <w:t>Func#3</w:t>
            </w:r>
          </w:p>
        </w:tc>
        <w:tc>
          <w:tcPr>
            <w:tcW w:w="1872" w:type="dxa"/>
            <w:tcBorders>
              <w:top w:val="single" w:sz="4" w:space="0" w:color="7F0000"/>
              <w:left w:val="nil"/>
              <w:bottom w:val="single" w:sz="4" w:space="0" w:color="7F0000"/>
              <w:right w:val="nil"/>
            </w:tcBorders>
            <w:shd w:val="clear" w:color="auto" w:fill="auto"/>
            <w:tcMar>
              <w:top w:w="15" w:type="dxa"/>
              <w:left w:w="108" w:type="dxa"/>
              <w:bottom w:w="0" w:type="dxa"/>
              <w:right w:w="108" w:type="dxa"/>
            </w:tcMar>
            <w:hideMark/>
          </w:tcPr>
          <w:p w14:paraId="6738F6B7" w14:textId="77777777" w:rsidR="00D726F5" w:rsidRPr="0018342E" w:rsidRDefault="00D726F5" w:rsidP="00A2616E">
            <w:pPr>
              <w:overflowPunct w:val="0"/>
              <w:spacing w:after="0"/>
              <w:textAlignment w:val="baseline"/>
              <w:rPr>
                <w:lang w:eastAsia="zh-CN"/>
              </w:rPr>
            </w:pPr>
            <w:r w:rsidRPr="0018342E">
              <w:rPr>
                <w:lang w:val="en-GB" w:eastAsia="zh-CN"/>
              </w:rPr>
              <w:t>Non-applicable</w:t>
            </w:r>
          </w:p>
        </w:tc>
        <w:tc>
          <w:tcPr>
            <w:tcW w:w="1872" w:type="dxa"/>
            <w:tcBorders>
              <w:top w:val="single" w:sz="4" w:space="0" w:color="7F0000"/>
              <w:left w:val="nil"/>
              <w:bottom w:val="single" w:sz="4" w:space="0" w:color="7F0000"/>
              <w:right w:val="nil"/>
            </w:tcBorders>
            <w:shd w:val="clear" w:color="auto" w:fill="auto"/>
            <w:tcMar>
              <w:top w:w="15" w:type="dxa"/>
              <w:left w:w="108" w:type="dxa"/>
              <w:bottom w:w="0" w:type="dxa"/>
              <w:right w:w="108" w:type="dxa"/>
            </w:tcMar>
            <w:hideMark/>
          </w:tcPr>
          <w:p w14:paraId="0F5DC358" w14:textId="77777777" w:rsidR="00D726F5" w:rsidRPr="0018342E" w:rsidRDefault="00D726F5" w:rsidP="00A2616E">
            <w:pPr>
              <w:overflowPunct w:val="0"/>
              <w:spacing w:after="0"/>
              <w:textAlignment w:val="baseline"/>
              <w:rPr>
                <w:lang w:eastAsia="zh-CN"/>
              </w:rPr>
            </w:pPr>
            <w:r w:rsidRPr="0018342E">
              <w:rPr>
                <w:highlight w:val="green"/>
                <w:lang w:val="en-GB" w:eastAsia="zh-CN"/>
              </w:rPr>
              <w:t>Applicable</w:t>
            </w:r>
          </w:p>
        </w:tc>
        <w:tc>
          <w:tcPr>
            <w:tcW w:w="1872" w:type="dxa"/>
            <w:tcBorders>
              <w:top w:val="single" w:sz="4" w:space="0" w:color="7F0000"/>
              <w:left w:val="nil"/>
              <w:bottom w:val="single" w:sz="4" w:space="0" w:color="7F0000"/>
              <w:right w:val="nil"/>
            </w:tcBorders>
            <w:shd w:val="clear" w:color="auto" w:fill="auto"/>
            <w:tcMar>
              <w:top w:w="15" w:type="dxa"/>
              <w:left w:w="108" w:type="dxa"/>
              <w:bottom w:w="0" w:type="dxa"/>
              <w:right w:w="108" w:type="dxa"/>
            </w:tcMar>
            <w:hideMark/>
          </w:tcPr>
          <w:p w14:paraId="1B1BB9EC" w14:textId="77777777" w:rsidR="00D726F5" w:rsidRPr="0018342E" w:rsidRDefault="00D726F5" w:rsidP="00A2616E">
            <w:pPr>
              <w:overflowPunct w:val="0"/>
              <w:spacing w:after="0"/>
              <w:textAlignment w:val="baseline"/>
              <w:rPr>
                <w:lang w:eastAsia="zh-CN"/>
              </w:rPr>
            </w:pPr>
            <w:r w:rsidRPr="0018342E">
              <w:rPr>
                <w:highlight w:val="yellow"/>
                <w:lang w:val="en-GB" w:eastAsia="zh-CN"/>
              </w:rPr>
              <w:t>Non-applicable</w:t>
            </w:r>
          </w:p>
        </w:tc>
        <w:tc>
          <w:tcPr>
            <w:tcW w:w="1872" w:type="dxa"/>
            <w:tcBorders>
              <w:top w:val="single" w:sz="4" w:space="0" w:color="7F0000"/>
              <w:left w:val="nil"/>
              <w:bottom w:val="single" w:sz="4" w:space="0" w:color="7F0000"/>
              <w:right w:val="single" w:sz="4" w:space="0" w:color="7F0000"/>
            </w:tcBorders>
            <w:shd w:val="clear" w:color="auto" w:fill="auto"/>
            <w:tcMar>
              <w:top w:w="15" w:type="dxa"/>
              <w:left w:w="108" w:type="dxa"/>
              <w:bottom w:w="0" w:type="dxa"/>
              <w:right w:w="108" w:type="dxa"/>
            </w:tcMar>
            <w:hideMark/>
          </w:tcPr>
          <w:p w14:paraId="11B859FF" w14:textId="77777777" w:rsidR="00D726F5" w:rsidRPr="0018342E" w:rsidRDefault="00D726F5" w:rsidP="00A2616E">
            <w:pPr>
              <w:overflowPunct w:val="0"/>
              <w:spacing w:after="0"/>
              <w:textAlignment w:val="baseline"/>
              <w:rPr>
                <w:lang w:eastAsia="zh-CN"/>
              </w:rPr>
            </w:pPr>
            <w:r w:rsidRPr="0018342E">
              <w:rPr>
                <w:lang w:val="en-GB" w:eastAsia="zh-CN"/>
              </w:rPr>
              <w:t>Non-applicable</w:t>
            </w:r>
          </w:p>
        </w:tc>
      </w:tr>
    </w:tbl>
    <w:p w14:paraId="61BA65BD" w14:textId="53677853" w:rsidR="00F304C9" w:rsidRDefault="00F304C9" w:rsidP="002336A7">
      <w:pPr>
        <w:rPr>
          <w:b/>
          <w:lang w:eastAsia="en-GB"/>
        </w:rPr>
      </w:pPr>
      <w:r>
        <w:rPr>
          <w:b/>
          <w:lang w:eastAsia="en-GB"/>
        </w:rPr>
        <w:t xml:space="preserve">Proposal </w:t>
      </w:r>
      <w:r w:rsidR="006C6630">
        <w:rPr>
          <w:b/>
          <w:lang w:eastAsia="en-GB"/>
        </w:rPr>
        <w:t>6</w:t>
      </w:r>
      <w:r w:rsidR="0018342E">
        <w:rPr>
          <w:b/>
          <w:lang w:eastAsia="en-GB"/>
        </w:rPr>
        <w:t>a</w:t>
      </w:r>
      <w:r>
        <w:rPr>
          <w:b/>
          <w:lang w:eastAsia="en-GB"/>
        </w:rPr>
        <w:t xml:space="preserve">: </w:t>
      </w:r>
      <w:r w:rsidR="00EF3AFC">
        <w:rPr>
          <w:b/>
          <w:lang w:eastAsia="en-GB"/>
        </w:rPr>
        <w:t>W</w:t>
      </w:r>
      <w:r w:rsidRPr="00F304C9">
        <w:rPr>
          <w:b/>
          <w:lang w:eastAsia="en-GB"/>
        </w:rPr>
        <w:t xml:space="preserve">hen the </w:t>
      </w:r>
      <w:r w:rsidR="0036345C">
        <w:rPr>
          <w:b/>
          <w:lang w:eastAsia="en-GB"/>
        </w:rPr>
        <w:t xml:space="preserve">status of the </w:t>
      </w:r>
      <w:r w:rsidRPr="00F304C9">
        <w:rPr>
          <w:b/>
          <w:lang w:eastAsia="en-GB"/>
        </w:rPr>
        <w:t xml:space="preserve">functionality </w:t>
      </w:r>
      <w:r w:rsidR="0036345C">
        <w:rPr>
          <w:b/>
          <w:lang w:eastAsia="en-GB"/>
        </w:rPr>
        <w:t xml:space="preserve">which </w:t>
      </w:r>
      <w:r w:rsidRPr="00F304C9">
        <w:rPr>
          <w:b/>
          <w:lang w:eastAsia="en-GB"/>
        </w:rPr>
        <w:t xml:space="preserve">has been previously </w:t>
      </w:r>
      <w:r w:rsidR="0036345C">
        <w:rPr>
          <w:b/>
          <w:lang w:eastAsia="en-GB"/>
        </w:rPr>
        <w:t xml:space="preserve">requested by the network changes from </w:t>
      </w:r>
      <w:r w:rsidRPr="00F304C9">
        <w:rPr>
          <w:b/>
          <w:lang w:eastAsia="en-GB"/>
        </w:rPr>
        <w:t xml:space="preserve">applicable </w:t>
      </w:r>
      <w:r w:rsidR="0036345C">
        <w:rPr>
          <w:b/>
          <w:lang w:eastAsia="en-GB"/>
        </w:rPr>
        <w:t>to</w:t>
      </w:r>
      <w:r w:rsidRPr="00F304C9">
        <w:rPr>
          <w:b/>
          <w:lang w:eastAsia="en-GB"/>
        </w:rPr>
        <w:t xml:space="preserve"> non-applicable </w:t>
      </w:r>
      <w:r w:rsidR="0036345C">
        <w:rPr>
          <w:b/>
          <w:lang w:eastAsia="en-GB"/>
        </w:rPr>
        <w:t>or vice-versa</w:t>
      </w:r>
      <w:r w:rsidRPr="00F304C9">
        <w:rPr>
          <w:b/>
          <w:lang w:eastAsia="en-GB"/>
        </w:rPr>
        <w:t xml:space="preserve">, </w:t>
      </w:r>
      <w:r w:rsidR="0018342E">
        <w:rPr>
          <w:b/>
          <w:lang w:eastAsia="en-GB"/>
        </w:rPr>
        <w:t>UE shall report the status change information to network.</w:t>
      </w:r>
    </w:p>
    <w:p w14:paraId="56C37A58" w14:textId="437FECA2" w:rsidR="0092614D" w:rsidRDefault="0092614D" w:rsidP="002336A7">
      <w:pPr>
        <w:rPr>
          <w:b/>
        </w:rPr>
      </w:pPr>
      <w:r w:rsidRPr="005E1FFD">
        <w:rPr>
          <w:b/>
        </w:rPr>
        <w:t>Proposal</w:t>
      </w:r>
      <w:r w:rsidR="00EA4835">
        <w:rPr>
          <w:b/>
        </w:rPr>
        <w:t xml:space="preserve"> </w:t>
      </w:r>
      <w:r w:rsidR="006C6630">
        <w:rPr>
          <w:b/>
        </w:rPr>
        <w:t>6</w:t>
      </w:r>
      <w:r w:rsidR="0018342E">
        <w:rPr>
          <w:b/>
        </w:rPr>
        <w:t>b</w:t>
      </w:r>
      <w:r w:rsidRPr="005E1FFD">
        <w:rPr>
          <w:b/>
        </w:rPr>
        <w:t xml:space="preserve">: UE always reports only applicable functionalities in the applicable functionality reporting, regardless of whether it is reported </w:t>
      </w:r>
      <w:r w:rsidR="00A75806">
        <w:rPr>
          <w:b/>
        </w:rPr>
        <w:t xml:space="preserve">for the </w:t>
      </w:r>
      <w:r w:rsidRPr="005E1FFD">
        <w:rPr>
          <w:b/>
        </w:rPr>
        <w:t xml:space="preserve">first time or </w:t>
      </w:r>
      <w:r w:rsidR="00A75806">
        <w:rPr>
          <w:b/>
        </w:rPr>
        <w:t xml:space="preserve">reported upon </w:t>
      </w:r>
      <w:r w:rsidRPr="005E1FFD">
        <w:rPr>
          <w:b/>
        </w:rPr>
        <w:t>a status change</w:t>
      </w:r>
      <w:r w:rsidR="00EA4835">
        <w:rPr>
          <w:b/>
        </w:rPr>
        <w:t>.</w:t>
      </w:r>
      <w:r w:rsidRPr="005E1FFD">
        <w:rPr>
          <w:b/>
        </w:rPr>
        <w:t xml:space="preserve">  </w:t>
      </w:r>
    </w:p>
    <w:p w14:paraId="715A6C65" w14:textId="7CA63FC6" w:rsidR="005A0BC9" w:rsidRPr="00781C21" w:rsidRDefault="007041E7" w:rsidP="007041E7">
      <w:pPr>
        <w:overflowPunct w:val="0"/>
        <w:spacing w:before="120"/>
        <w:textAlignment w:val="baseline"/>
        <w:rPr>
          <w:lang w:eastAsia="zh-CN"/>
        </w:rPr>
      </w:pPr>
      <w:r>
        <w:rPr>
          <w:lang w:eastAsia="zh-CN"/>
        </w:rPr>
        <w:t>However, it should be noted that as opposed to</w:t>
      </w:r>
      <w:r w:rsidR="005A0BC9" w:rsidRPr="00781C21">
        <w:rPr>
          <w:lang w:eastAsia="zh-CN"/>
        </w:rPr>
        <w:t xml:space="preserve"> the changes of NW side conditions, UE internal conditions are unseen and unpredicted from NW perspective. Even if UE could have the flexibility to timely indicate the status changes of the applicable functionality due to UE internal conditions, signaling overhead is introduced, especially for the cases where the changes among different functionality status are frequent. </w:t>
      </w:r>
      <w:r w:rsidR="00781C21">
        <w:rPr>
          <w:lang w:eastAsia="zh-CN"/>
        </w:rPr>
        <w:t>On the other hand, if status updates frequency is limited by the network</w:t>
      </w:r>
      <w:r w:rsidR="00B70E53">
        <w:rPr>
          <w:lang w:eastAsia="zh-CN"/>
        </w:rPr>
        <w:t xml:space="preserve"> (e.g. using a prohibit timer)</w:t>
      </w:r>
      <w:r w:rsidR="00781C21">
        <w:rPr>
          <w:lang w:eastAsia="zh-CN"/>
        </w:rPr>
        <w:t>, then there may be a delay in UE reporting a functionality as non-applicable. In</w:t>
      </w:r>
      <w:r w:rsidR="005A0BC9" w:rsidRPr="00781C21">
        <w:rPr>
          <w:lang w:eastAsia="zh-CN"/>
        </w:rPr>
        <w:t xml:space="preserve"> </w:t>
      </w:r>
      <w:r w:rsidR="00781C21">
        <w:rPr>
          <w:lang w:eastAsia="zh-CN"/>
        </w:rPr>
        <w:t>th</w:t>
      </w:r>
      <w:r w:rsidR="0031696F">
        <w:rPr>
          <w:lang w:eastAsia="zh-CN"/>
        </w:rPr>
        <w:t>is case, the</w:t>
      </w:r>
      <w:r w:rsidR="00781C21">
        <w:rPr>
          <w:lang w:eastAsia="zh-CN"/>
        </w:rPr>
        <w:t xml:space="preserve"> </w:t>
      </w:r>
      <w:r w:rsidR="005A0BC9" w:rsidRPr="00781C21">
        <w:rPr>
          <w:lang w:eastAsia="zh-CN"/>
        </w:rPr>
        <w:t xml:space="preserve">NW </w:t>
      </w:r>
      <w:r w:rsidR="00781C21">
        <w:rPr>
          <w:lang w:eastAsia="zh-CN"/>
        </w:rPr>
        <w:t xml:space="preserve">may need </w:t>
      </w:r>
      <w:r w:rsidR="005A0BC9" w:rsidRPr="00781C21">
        <w:rPr>
          <w:lang w:eastAsia="zh-CN"/>
        </w:rPr>
        <w:t xml:space="preserve">to configure </w:t>
      </w:r>
      <w:r w:rsidR="00781C21">
        <w:rPr>
          <w:lang w:eastAsia="zh-CN"/>
        </w:rPr>
        <w:t xml:space="preserve">more </w:t>
      </w:r>
      <w:r w:rsidR="005A0BC9" w:rsidRPr="00781C21">
        <w:rPr>
          <w:lang w:eastAsia="zh-CN"/>
        </w:rPr>
        <w:t xml:space="preserve">resources </w:t>
      </w:r>
      <w:r w:rsidR="00781C21">
        <w:rPr>
          <w:lang w:eastAsia="zh-CN"/>
        </w:rPr>
        <w:t>for performance</w:t>
      </w:r>
      <w:r w:rsidR="005A0BC9" w:rsidRPr="00781C21">
        <w:rPr>
          <w:lang w:eastAsia="zh-CN"/>
        </w:rPr>
        <w:t xml:space="preserve"> monitor</w:t>
      </w:r>
      <w:r w:rsidR="00781C21">
        <w:rPr>
          <w:lang w:eastAsia="zh-CN"/>
        </w:rPr>
        <w:t>ing, but</w:t>
      </w:r>
      <w:r w:rsidR="005A0BC9" w:rsidRPr="00781C21">
        <w:rPr>
          <w:lang w:eastAsia="zh-CN"/>
        </w:rPr>
        <w:t xml:space="preserve"> </w:t>
      </w:r>
      <w:r w:rsidR="00781C21">
        <w:rPr>
          <w:lang w:eastAsia="zh-CN"/>
        </w:rPr>
        <w:t>t</w:t>
      </w:r>
      <w:r w:rsidR="005A0BC9" w:rsidRPr="00781C21">
        <w:rPr>
          <w:lang w:eastAsia="zh-CN"/>
        </w:rPr>
        <w:t xml:space="preserve">his will introduce additional resource overhead. </w:t>
      </w:r>
    </w:p>
    <w:p w14:paraId="34FD4964" w14:textId="4610262E" w:rsidR="005A0BC9" w:rsidRPr="005A0BC9" w:rsidRDefault="005A0BC9" w:rsidP="005A0BC9">
      <w:pPr>
        <w:overflowPunct w:val="0"/>
        <w:spacing w:before="120"/>
        <w:textAlignment w:val="baseline"/>
        <w:rPr>
          <w:b/>
          <w:lang w:eastAsia="zh-CN"/>
        </w:rPr>
      </w:pPr>
      <w:r w:rsidRPr="005A0BC9">
        <w:rPr>
          <w:b/>
          <w:lang w:eastAsia="zh-CN"/>
        </w:rPr>
        <w:t>Observation</w:t>
      </w:r>
      <w:r>
        <w:rPr>
          <w:b/>
          <w:lang w:eastAsia="zh-CN"/>
        </w:rPr>
        <w:t xml:space="preserve"> </w:t>
      </w:r>
      <w:r w:rsidR="001E3751">
        <w:rPr>
          <w:b/>
          <w:lang w:eastAsia="zh-CN"/>
        </w:rPr>
        <w:t>4</w:t>
      </w:r>
      <w:r w:rsidRPr="005A0BC9">
        <w:rPr>
          <w:b/>
          <w:lang w:eastAsia="zh-CN"/>
        </w:rPr>
        <w:t>: Changes among different functionality statuses have an impact on functionality management. Frequent changes may result in frequent activation/</w:t>
      </w:r>
      <w:r w:rsidR="00EF68F3">
        <w:rPr>
          <w:b/>
          <w:lang w:eastAsia="zh-CN"/>
        </w:rPr>
        <w:t>de</w:t>
      </w:r>
      <w:r w:rsidRPr="005A0BC9">
        <w:rPr>
          <w:b/>
          <w:lang w:eastAsia="zh-CN"/>
        </w:rPr>
        <w:t xml:space="preserve">activation or may require more </w:t>
      </w:r>
      <w:r w:rsidR="004F189A">
        <w:rPr>
          <w:b/>
          <w:lang w:eastAsia="zh-CN"/>
        </w:rPr>
        <w:t xml:space="preserve">resources for performance </w:t>
      </w:r>
      <w:r w:rsidRPr="005A0BC9">
        <w:rPr>
          <w:b/>
          <w:lang w:eastAsia="zh-CN"/>
        </w:rPr>
        <w:t>monitoring, which will introduce signaling/resource overhead.</w:t>
      </w:r>
    </w:p>
    <w:p w14:paraId="73F54DFA" w14:textId="7CD9F2D6" w:rsidR="005A0BC9" w:rsidRPr="00781C21" w:rsidRDefault="00EF68F3" w:rsidP="005A0BC9">
      <w:pPr>
        <w:overflowPunct w:val="0"/>
        <w:spacing w:before="120"/>
        <w:textAlignment w:val="baseline"/>
        <w:rPr>
          <w:lang w:eastAsia="zh-CN"/>
        </w:rPr>
      </w:pPr>
      <w:r>
        <w:rPr>
          <w:lang w:eastAsia="zh-CN"/>
        </w:rPr>
        <w:t>From network perspective, it is prefer</w:t>
      </w:r>
      <w:r w:rsidR="0092614D">
        <w:rPr>
          <w:lang w:eastAsia="zh-CN"/>
        </w:rPr>
        <w:t>red</w:t>
      </w:r>
      <w:r>
        <w:rPr>
          <w:lang w:eastAsia="zh-CN"/>
        </w:rPr>
        <w:t xml:space="preserve"> to choose such functionalities for inference which are likely to be used for a longer time and which are not prone to frequent status changes, e.g. due to dynamic changes </w:t>
      </w:r>
      <w:r>
        <w:rPr>
          <w:lang w:eastAsia="zh-CN"/>
        </w:rPr>
        <w:lastRenderedPageBreak/>
        <w:t xml:space="preserve">of UE-side conditions. </w:t>
      </w:r>
      <w:r w:rsidR="00CB4ADD">
        <w:rPr>
          <w:lang w:eastAsia="zh-CN"/>
        </w:rPr>
        <w:t xml:space="preserve">To help the network </w:t>
      </w:r>
      <w:r w:rsidR="00FA76C9">
        <w:rPr>
          <w:lang w:eastAsia="zh-CN"/>
        </w:rPr>
        <w:t>to</w:t>
      </w:r>
      <w:r w:rsidR="00CB4ADD">
        <w:rPr>
          <w:lang w:eastAsia="zh-CN"/>
        </w:rPr>
        <w:t xml:space="preserve"> choos</w:t>
      </w:r>
      <w:r w:rsidR="00FA76C9">
        <w:rPr>
          <w:lang w:eastAsia="zh-CN"/>
        </w:rPr>
        <w:t>e</w:t>
      </w:r>
      <w:r w:rsidR="00CB4ADD">
        <w:rPr>
          <w:lang w:eastAsia="zh-CN"/>
        </w:rPr>
        <w:t xml:space="preserve"> proper configurations</w:t>
      </w:r>
      <w:r w:rsidR="00FC52C2">
        <w:rPr>
          <w:lang w:eastAsia="zh-CN"/>
        </w:rPr>
        <w:t xml:space="preserve">, it would be useful </w:t>
      </w:r>
      <w:r w:rsidR="00CB4ADD">
        <w:rPr>
          <w:lang w:eastAsia="zh-CN"/>
        </w:rPr>
        <w:t xml:space="preserve">if on top of bare applicability information, </w:t>
      </w:r>
      <w:r w:rsidR="00FC52C2">
        <w:rPr>
          <w:lang w:eastAsia="zh-CN"/>
        </w:rPr>
        <w:t xml:space="preserve">the UE </w:t>
      </w:r>
      <w:r w:rsidR="00CB4ADD">
        <w:rPr>
          <w:lang w:eastAsia="zh-CN"/>
        </w:rPr>
        <w:t xml:space="preserve">also </w:t>
      </w:r>
      <w:r w:rsidR="00FC52C2">
        <w:rPr>
          <w:lang w:eastAsia="zh-CN"/>
        </w:rPr>
        <w:t>provide</w:t>
      </w:r>
      <w:r w:rsidR="00CB4ADD">
        <w:rPr>
          <w:lang w:eastAsia="zh-CN"/>
        </w:rPr>
        <w:t>d</w:t>
      </w:r>
      <w:r w:rsidR="00FC52C2">
        <w:rPr>
          <w:lang w:eastAsia="zh-CN"/>
        </w:rPr>
        <w:t xml:space="preserve"> also some kind of “</w:t>
      </w:r>
      <w:r w:rsidR="00CB4ADD">
        <w:rPr>
          <w:lang w:eastAsia="zh-CN"/>
        </w:rPr>
        <w:t xml:space="preserve">stability of </w:t>
      </w:r>
      <w:r w:rsidR="00FC52C2">
        <w:rPr>
          <w:lang w:eastAsia="zh-CN"/>
        </w:rPr>
        <w:t xml:space="preserve">applicability” </w:t>
      </w:r>
      <w:r w:rsidR="00CB4ADD">
        <w:rPr>
          <w:lang w:eastAsia="zh-CN"/>
        </w:rPr>
        <w:t xml:space="preserve">indication. For example, if the UE knows a certain inference operation is likely to exceed its processing power or that the model is only applicable for the current UE speed, the network should be aware of this. Such indication does not have to mention an explicit reason why the functionality status may change, but instead the UE could for example indicate the time during which the UE commits to keep the applicability of the </w:t>
      </w:r>
      <w:r w:rsidR="00B15FC8">
        <w:rPr>
          <w:lang w:eastAsia="zh-CN"/>
        </w:rPr>
        <w:t>functionality</w:t>
      </w:r>
      <w:r w:rsidR="00CB4ADD">
        <w:rPr>
          <w:lang w:eastAsia="zh-CN"/>
        </w:rPr>
        <w:t xml:space="preserve">. </w:t>
      </w:r>
      <w:r w:rsidR="00B15FC8">
        <w:rPr>
          <w:lang w:eastAsia="zh-CN"/>
        </w:rPr>
        <w:t xml:space="preserve">Such information would allow the network </w:t>
      </w:r>
      <w:r w:rsidR="00B02B0E">
        <w:rPr>
          <w:lang w:eastAsia="zh-CN"/>
        </w:rPr>
        <w:t xml:space="preserve">to </w:t>
      </w:r>
      <w:r w:rsidR="005A0BC9" w:rsidRPr="00781C21">
        <w:rPr>
          <w:lang w:eastAsia="zh-CN"/>
        </w:rPr>
        <w:t>achieve a better tradeoff between signaling/resource overhead</w:t>
      </w:r>
      <w:r w:rsidR="006F47BD">
        <w:rPr>
          <w:lang w:eastAsia="zh-CN"/>
        </w:rPr>
        <w:t xml:space="preserve"> and system performance guarantee</w:t>
      </w:r>
      <w:r w:rsidR="00B15FC8">
        <w:rPr>
          <w:lang w:eastAsia="zh-CN"/>
        </w:rPr>
        <w:t xml:space="preserve"> and would</w:t>
      </w:r>
      <w:r w:rsidR="005A0BC9" w:rsidRPr="00781C21">
        <w:rPr>
          <w:lang w:eastAsia="zh-CN"/>
        </w:rPr>
        <w:t xml:space="preserve"> be helpful for performing appropriate functionality management. For example, if the applicable status can be maintained for a relative</w:t>
      </w:r>
      <w:r w:rsidR="00B02B0E">
        <w:rPr>
          <w:lang w:eastAsia="zh-CN"/>
        </w:rPr>
        <w:t>ly</w:t>
      </w:r>
      <w:r w:rsidR="005A0BC9" w:rsidRPr="00781C21">
        <w:rPr>
          <w:lang w:eastAsia="zh-CN"/>
        </w:rPr>
        <w:t xml:space="preserve"> long time, less resources for functionality monitoring are needed. If the applicable status cannot be maintained for a relative long time</w:t>
      </w:r>
      <w:r w:rsidR="00B02B0E">
        <w:rPr>
          <w:lang w:eastAsia="zh-CN"/>
        </w:rPr>
        <w:t xml:space="preserve"> or cannot be determined reliably</w:t>
      </w:r>
      <w:r w:rsidR="005A0BC9" w:rsidRPr="00781C21">
        <w:rPr>
          <w:lang w:eastAsia="zh-CN"/>
        </w:rPr>
        <w:t xml:space="preserve">, </w:t>
      </w:r>
      <w:r w:rsidR="00B02B0E">
        <w:rPr>
          <w:lang w:eastAsia="zh-CN"/>
        </w:rPr>
        <w:t xml:space="preserve">the </w:t>
      </w:r>
      <w:r w:rsidR="005A0BC9" w:rsidRPr="00781C21">
        <w:rPr>
          <w:lang w:eastAsia="zh-CN"/>
        </w:rPr>
        <w:t xml:space="preserve">NW may </w:t>
      </w:r>
      <w:r w:rsidR="00B02B0E">
        <w:rPr>
          <w:lang w:eastAsia="zh-CN"/>
        </w:rPr>
        <w:t xml:space="preserve">decide </w:t>
      </w:r>
      <w:r w:rsidR="005A0BC9" w:rsidRPr="00781C21">
        <w:rPr>
          <w:lang w:eastAsia="zh-CN"/>
        </w:rPr>
        <w:t xml:space="preserve">not </w:t>
      </w:r>
      <w:r w:rsidR="00B02B0E">
        <w:rPr>
          <w:lang w:eastAsia="zh-CN"/>
        </w:rPr>
        <w:t xml:space="preserve">to </w:t>
      </w:r>
      <w:r w:rsidR="005A0BC9" w:rsidRPr="00781C21">
        <w:rPr>
          <w:lang w:eastAsia="zh-CN"/>
        </w:rPr>
        <w:t>activate the functionality, even though it is applicable for the time being</w:t>
      </w:r>
      <w:r w:rsidR="00B15FC8">
        <w:rPr>
          <w:lang w:eastAsia="zh-CN"/>
        </w:rPr>
        <w:t>,</w:t>
      </w:r>
      <w:r w:rsidR="005A0BC9" w:rsidRPr="00781C21">
        <w:rPr>
          <w:lang w:eastAsia="zh-CN"/>
        </w:rPr>
        <w:t xml:space="preserve"> </w:t>
      </w:r>
      <w:r w:rsidR="00B15FC8">
        <w:rPr>
          <w:lang w:eastAsia="zh-CN"/>
        </w:rPr>
        <w:t>o</w:t>
      </w:r>
      <w:r w:rsidR="005A0BC9" w:rsidRPr="00781C21">
        <w:rPr>
          <w:lang w:eastAsia="zh-CN"/>
        </w:rPr>
        <w:t>r</w:t>
      </w:r>
      <w:r w:rsidR="00B15FC8">
        <w:rPr>
          <w:lang w:eastAsia="zh-CN"/>
        </w:rPr>
        <w:t xml:space="preserve"> the</w:t>
      </w:r>
      <w:r w:rsidR="005A0BC9" w:rsidRPr="00781C21">
        <w:rPr>
          <w:lang w:eastAsia="zh-CN"/>
        </w:rPr>
        <w:t xml:space="preserve"> NW may still choose to activate the functionality, but </w:t>
      </w:r>
      <w:r w:rsidR="00B15FC8">
        <w:rPr>
          <w:lang w:eastAsia="zh-CN"/>
        </w:rPr>
        <w:t xml:space="preserve">configure </w:t>
      </w:r>
      <w:r w:rsidR="005A0BC9" w:rsidRPr="00781C21">
        <w:rPr>
          <w:lang w:eastAsia="zh-CN"/>
        </w:rPr>
        <w:t xml:space="preserve">more resources for </w:t>
      </w:r>
      <w:r w:rsidR="00B15FC8">
        <w:rPr>
          <w:lang w:eastAsia="zh-CN"/>
        </w:rPr>
        <w:t xml:space="preserve">performance </w:t>
      </w:r>
      <w:r w:rsidR="005A0BC9" w:rsidRPr="00781C21">
        <w:rPr>
          <w:lang w:eastAsia="zh-CN"/>
        </w:rPr>
        <w:t xml:space="preserve">monitoring.  </w:t>
      </w:r>
    </w:p>
    <w:p w14:paraId="24BD690E" w14:textId="74958701" w:rsidR="005A0BC9" w:rsidRPr="005A0BC9" w:rsidRDefault="005A0BC9" w:rsidP="005A0BC9">
      <w:pPr>
        <w:overflowPunct w:val="0"/>
        <w:spacing w:before="120"/>
        <w:textAlignment w:val="baseline"/>
        <w:rPr>
          <w:b/>
          <w:lang w:eastAsia="zh-CN"/>
        </w:rPr>
      </w:pPr>
      <w:r w:rsidRPr="005A0BC9">
        <w:rPr>
          <w:b/>
          <w:lang w:eastAsia="zh-CN"/>
        </w:rPr>
        <w:t>Observation</w:t>
      </w:r>
      <w:r>
        <w:rPr>
          <w:b/>
          <w:lang w:eastAsia="zh-CN"/>
        </w:rPr>
        <w:t xml:space="preserve"> </w:t>
      </w:r>
      <w:r w:rsidR="001E3751">
        <w:rPr>
          <w:b/>
          <w:lang w:eastAsia="zh-CN"/>
        </w:rPr>
        <w:t>5</w:t>
      </w:r>
      <w:r w:rsidRPr="005A0BC9">
        <w:rPr>
          <w:b/>
          <w:lang w:eastAsia="zh-CN"/>
        </w:rPr>
        <w:t xml:space="preserve">: </w:t>
      </w:r>
      <w:r w:rsidR="00B15FC8">
        <w:rPr>
          <w:b/>
          <w:lang w:eastAsia="zh-CN"/>
        </w:rPr>
        <w:t xml:space="preserve">Frequent functionality applicability changes/updates may have a detrimental impact on the signaling overhead, system performance and complicate AIML functionality management by the network. </w:t>
      </w:r>
    </w:p>
    <w:p w14:paraId="51554D0F" w14:textId="10E9925B" w:rsidR="00265C54" w:rsidRDefault="005A0BC9" w:rsidP="00FD11FF">
      <w:pPr>
        <w:overflowPunct w:val="0"/>
        <w:spacing w:before="120"/>
        <w:textAlignment w:val="baseline"/>
        <w:rPr>
          <w:b/>
          <w:lang w:eastAsia="zh-CN"/>
        </w:rPr>
      </w:pPr>
      <w:r w:rsidRPr="005A0BC9">
        <w:rPr>
          <w:b/>
          <w:lang w:eastAsia="zh-CN"/>
        </w:rPr>
        <w:t>Proposal</w:t>
      </w:r>
      <w:r>
        <w:rPr>
          <w:b/>
          <w:lang w:eastAsia="zh-CN"/>
        </w:rPr>
        <w:t xml:space="preserve"> </w:t>
      </w:r>
      <w:r w:rsidR="006C6630">
        <w:rPr>
          <w:b/>
          <w:lang w:eastAsia="zh-CN"/>
        </w:rPr>
        <w:t>7</w:t>
      </w:r>
      <w:r w:rsidRPr="005A0BC9">
        <w:rPr>
          <w:b/>
          <w:lang w:eastAsia="zh-CN"/>
        </w:rPr>
        <w:t xml:space="preserve">: </w:t>
      </w:r>
      <w:r w:rsidR="00B15FC8">
        <w:rPr>
          <w:b/>
          <w:lang w:eastAsia="zh-CN"/>
        </w:rPr>
        <w:t xml:space="preserve">RAN2 should investigate the means to avoid the need of frequent applicability status updates and ensure the stability of inference operation once it is </w:t>
      </w:r>
      <w:r w:rsidR="00EF47B8">
        <w:rPr>
          <w:b/>
          <w:lang w:eastAsia="zh-CN"/>
        </w:rPr>
        <w:t>activated</w:t>
      </w:r>
      <w:r w:rsidR="0092614D">
        <w:rPr>
          <w:b/>
          <w:lang w:eastAsia="zh-CN"/>
        </w:rPr>
        <w:t xml:space="preserve"> (</w:t>
      </w:r>
      <w:r w:rsidR="00632FC9">
        <w:rPr>
          <w:b/>
          <w:lang w:eastAsia="zh-CN"/>
        </w:rPr>
        <w:t>e.g.,</w:t>
      </w:r>
      <w:r w:rsidR="0092614D">
        <w:rPr>
          <w:b/>
          <w:lang w:eastAsia="zh-CN"/>
        </w:rPr>
        <w:t xml:space="preserve"> UE can provide some kind of “stability of applicability” indication for each applicable functionality etc.)</w:t>
      </w:r>
      <w:r w:rsidR="00B15FC8">
        <w:rPr>
          <w:b/>
          <w:lang w:eastAsia="zh-CN"/>
        </w:rPr>
        <w:t xml:space="preserve">. </w:t>
      </w:r>
    </w:p>
    <w:p w14:paraId="3FC237FD" w14:textId="2B6099E1" w:rsidR="0028751B" w:rsidRDefault="007E36DA" w:rsidP="00FD11FF">
      <w:pPr>
        <w:overflowPunct w:val="0"/>
        <w:spacing w:before="120"/>
        <w:textAlignment w:val="baseline"/>
        <w:rPr>
          <w:lang w:eastAsia="zh-CN"/>
        </w:rPr>
      </w:pPr>
      <w:r w:rsidRPr="007E36DA">
        <w:rPr>
          <w:lang w:eastAsia="zh-CN"/>
        </w:rPr>
        <w:t>As</w:t>
      </w:r>
      <w:r>
        <w:rPr>
          <w:lang w:eastAsia="zh-CN"/>
        </w:rPr>
        <w:t xml:space="preserve"> a commonly used method to avoid the frequent </w:t>
      </w:r>
      <w:r>
        <w:rPr>
          <w:rFonts w:hint="eastAsia"/>
          <w:lang w:eastAsia="zh-CN"/>
        </w:rPr>
        <w:t>r</w:t>
      </w:r>
      <w:r>
        <w:rPr>
          <w:lang w:eastAsia="zh-CN"/>
        </w:rPr>
        <w:t>eporting, a prohibit timer can be configured. However, with the prohibit timer, the NW may not get the applicability information timely and cause some problem</w:t>
      </w:r>
      <w:r w:rsidR="0028751B">
        <w:rPr>
          <w:lang w:eastAsia="zh-CN"/>
        </w:rPr>
        <w:t>, as shown in the following cases</w:t>
      </w:r>
      <w:r>
        <w:rPr>
          <w:lang w:eastAsia="zh-CN"/>
        </w:rPr>
        <w:t xml:space="preserve">. </w:t>
      </w:r>
    </w:p>
    <w:p w14:paraId="7F13DE2D" w14:textId="77777777" w:rsidR="0028751B" w:rsidRDefault="0028751B" w:rsidP="004A4578">
      <w:pPr>
        <w:pStyle w:val="ListParagraph"/>
        <w:numPr>
          <w:ilvl w:val="0"/>
          <w:numId w:val="12"/>
        </w:numPr>
        <w:overflowPunct w:val="0"/>
        <w:spacing w:before="120"/>
        <w:ind w:firstLineChars="0"/>
        <w:textAlignment w:val="baseline"/>
        <w:rPr>
          <w:lang w:eastAsia="zh-CN"/>
        </w:rPr>
      </w:pPr>
      <w:r>
        <w:rPr>
          <w:lang w:eastAsia="zh-CN"/>
        </w:rPr>
        <w:t>Case 1:</w:t>
      </w:r>
      <w:r w:rsidR="007E36DA">
        <w:rPr>
          <w:lang w:eastAsia="zh-CN"/>
        </w:rPr>
        <w:t xml:space="preserve"> if </w:t>
      </w:r>
      <w:r w:rsidR="004F266A">
        <w:rPr>
          <w:rFonts w:hint="eastAsia"/>
          <w:lang w:eastAsia="zh-CN"/>
        </w:rPr>
        <w:t>a</w:t>
      </w:r>
      <w:r w:rsidR="004F266A">
        <w:rPr>
          <w:lang w:eastAsia="zh-CN"/>
        </w:rPr>
        <w:t xml:space="preserve"> functionality becomes</w:t>
      </w:r>
      <w:r w:rsidR="007E36DA">
        <w:rPr>
          <w:lang w:eastAsia="zh-CN"/>
        </w:rPr>
        <w:t xml:space="preserve"> “non-applicable” </w:t>
      </w:r>
      <w:r w:rsidR="004F266A">
        <w:rPr>
          <w:lang w:eastAsia="zh-CN"/>
        </w:rPr>
        <w:t>but cannot be updated because</w:t>
      </w:r>
      <w:r w:rsidR="00683BAC">
        <w:rPr>
          <w:lang w:eastAsia="zh-CN"/>
        </w:rPr>
        <w:t xml:space="preserve"> the prohibit timer is still running</w:t>
      </w:r>
      <w:r w:rsidR="004F266A">
        <w:rPr>
          <w:lang w:eastAsia="zh-CN"/>
        </w:rPr>
        <w:t>, meanwhile</w:t>
      </w:r>
      <w:r w:rsidR="007E36DA">
        <w:rPr>
          <w:lang w:eastAsia="zh-CN"/>
        </w:rPr>
        <w:t xml:space="preserve"> the NW decid</w:t>
      </w:r>
      <w:r w:rsidR="00683BAC">
        <w:rPr>
          <w:lang w:eastAsia="zh-CN"/>
        </w:rPr>
        <w:t xml:space="preserve">es to configure this functionality for inference, the </w:t>
      </w:r>
      <w:r w:rsidR="004F266A">
        <w:rPr>
          <w:lang w:eastAsia="zh-CN"/>
        </w:rPr>
        <w:t>inference configuration can fail. In</w:t>
      </w:r>
      <w:r w:rsidR="004F266A">
        <w:rPr>
          <w:rFonts w:hint="eastAsia"/>
          <w:lang w:eastAsia="zh-CN"/>
        </w:rPr>
        <w:t xml:space="preserve"> this</w:t>
      </w:r>
      <w:r w:rsidR="004F266A">
        <w:rPr>
          <w:lang w:eastAsia="zh-CN"/>
        </w:rPr>
        <w:t xml:space="preserve"> case, the UE needs to indicate the inference configuration</w:t>
      </w:r>
      <w:r>
        <w:rPr>
          <w:lang w:eastAsia="zh-CN"/>
        </w:rPr>
        <w:t xml:space="preserve"> failure to</w:t>
      </w:r>
      <w:r w:rsidR="004F266A">
        <w:rPr>
          <w:lang w:eastAsia="zh-CN"/>
        </w:rPr>
        <w:t xml:space="preserve"> </w:t>
      </w:r>
      <w:r>
        <w:rPr>
          <w:lang w:eastAsia="zh-CN"/>
        </w:rPr>
        <w:t xml:space="preserve">the NW </w:t>
      </w:r>
      <w:r w:rsidR="004F266A">
        <w:rPr>
          <w:lang w:eastAsia="zh-CN"/>
        </w:rPr>
        <w:t xml:space="preserve">after receiving the inference configuration. </w:t>
      </w:r>
    </w:p>
    <w:p w14:paraId="6506929D" w14:textId="442AB121" w:rsidR="007E36DA" w:rsidRDefault="0028751B" w:rsidP="004A4578">
      <w:pPr>
        <w:pStyle w:val="ListParagraph"/>
        <w:numPr>
          <w:ilvl w:val="0"/>
          <w:numId w:val="12"/>
        </w:numPr>
        <w:overflowPunct w:val="0"/>
        <w:spacing w:before="120"/>
        <w:ind w:firstLineChars="0"/>
        <w:textAlignment w:val="baseline"/>
        <w:rPr>
          <w:lang w:eastAsia="zh-CN"/>
        </w:rPr>
      </w:pPr>
      <w:r>
        <w:rPr>
          <w:lang w:eastAsia="zh-CN"/>
        </w:rPr>
        <w:t xml:space="preserve">Case 2: </w:t>
      </w:r>
      <w:r w:rsidR="004F266A">
        <w:rPr>
          <w:rFonts w:hint="eastAsia"/>
          <w:lang w:eastAsia="zh-CN"/>
        </w:rPr>
        <w:t>a</w:t>
      </w:r>
      <w:r w:rsidR="004F266A">
        <w:rPr>
          <w:lang w:eastAsia="zh-CN"/>
        </w:rPr>
        <w:t xml:space="preserve"> functionality becomes “applicable” but cannot be updated timely</w:t>
      </w:r>
      <w:r w:rsidR="004F266A">
        <w:rPr>
          <w:rFonts w:hint="eastAsia"/>
          <w:lang w:eastAsia="zh-CN"/>
        </w:rPr>
        <w:t>,</w:t>
      </w:r>
      <w:r>
        <w:rPr>
          <w:lang w:eastAsia="zh-CN"/>
        </w:rPr>
        <w:t xml:space="preserve"> the NW cannot configure the functionality for inference </w:t>
      </w:r>
      <w:r w:rsidRPr="0028751B">
        <w:rPr>
          <w:lang w:eastAsia="zh-CN"/>
        </w:rPr>
        <w:t>immediately</w:t>
      </w:r>
      <w:r>
        <w:rPr>
          <w:lang w:eastAsia="zh-CN"/>
        </w:rPr>
        <w:t xml:space="preserve"> if the NW is interested in this functionality.</w:t>
      </w:r>
    </w:p>
    <w:p w14:paraId="0B51A00C" w14:textId="64A2DE13" w:rsidR="0028751B" w:rsidRDefault="0028751B" w:rsidP="00FD11FF">
      <w:pPr>
        <w:overflowPunct w:val="0"/>
        <w:spacing w:before="120"/>
        <w:textAlignment w:val="baseline"/>
        <w:rPr>
          <w:lang w:eastAsia="zh-CN"/>
        </w:rPr>
      </w:pPr>
      <w:r>
        <w:rPr>
          <w:lang w:eastAsia="zh-CN"/>
        </w:rPr>
        <w:t>From the two cases, it can cause different results if the NW cannot know the applicability update from “applicable to non-applicable” and from “non-applicable to applicable”. Thus</w:t>
      </w:r>
      <w:r w:rsidR="00F845BD">
        <w:rPr>
          <w:lang w:eastAsia="zh-CN"/>
        </w:rPr>
        <w:t>,</w:t>
      </w:r>
      <w:r>
        <w:rPr>
          <w:lang w:eastAsia="zh-CN"/>
        </w:rPr>
        <w:t xml:space="preserve"> we need to configure different prohibit timer for these different cases. </w:t>
      </w:r>
      <w:r>
        <w:rPr>
          <w:rFonts w:hint="eastAsia"/>
          <w:lang w:eastAsia="zh-CN"/>
        </w:rPr>
        <w:t>F</w:t>
      </w:r>
      <w:r>
        <w:rPr>
          <w:lang w:eastAsia="zh-CN"/>
        </w:rPr>
        <w:t>or example, if the NW wants to avoid the first cases and can endure the second case</w:t>
      </w:r>
      <w:r>
        <w:rPr>
          <w:rFonts w:hint="eastAsia"/>
          <w:lang w:eastAsia="zh-CN"/>
        </w:rPr>
        <w:t>,</w:t>
      </w:r>
      <w:r>
        <w:rPr>
          <w:lang w:eastAsia="zh-CN"/>
        </w:rPr>
        <w:t xml:space="preserve"> the NW can configure the</w:t>
      </w:r>
      <w:r w:rsidR="00325571">
        <w:rPr>
          <w:lang w:eastAsia="zh-CN"/>
        </w:rPr>
        <w:t xml:space="preserve"> value of the</w:t>
      </w:r>
      <w:r>
        <w:rPr>
          <w:lang w:eastAsia="zh-CN"/>
        </w:rPr>
        <w:t xml:space="preserve"> prohibit timer for “applicable to non-applicable” update as 0</w:t>
      </w:r>
      <w:r w:rsidR="00816729">
        <w:rPr>
          <w:lang w:eastAsia="zh-CN"/>
        </w:rPr>
        <w:t xml:space="preserve"> or a small value</w:t>
      </w:r>
      <w:r>
        <w:rPr>
          <w:rFonts w:hint="eastAsia"/>
          <w:lang w:eastAsia="zh-CN"/>
        </w:rPr>
        <w:t>,</w:t>
      </w:r>
      <w:r>
        <w:rPr>
          <w:lang w:eastAsia="zh-CN"/>
        </w:rPr>
        <w:t xml:space="preserve"> and configure a proper value</w:t>
      </w:r>
      <w:r w:rsidR="008838B6">
        <w:rPr>
          <w:lang w:eastAsia="zh-CN"/>
        </w:rPr>
        <w:t xml:space="preserve"> (which is larger than the prohibit timer for “applicable to non-applicable”)</w:t>
      </w:r>
      <w:r>
        <w:rPr>
          <w:lang w:eastAsia="zh-CN"/>
        </w:rPr>
        <w:t xml:space="preserve"> </w:t>
      </w:r>
      <w:r w:rsidR="00325571">
        <w:rPr>
          <w:lang w:eastAsia="zh-CN"/>
        </w:rPr>
        <w:t>for the prohibit timer for “non</w:t>
      </w:r>
      <w:r w:rsidR="00325571">
        <w:rPr>
          <w:rFonts w:hint="eastAsia"/>
          <w:lang w:eastAsia="zh-CN"/>
        </w:rPr>
        <w:t>-</w:t>
      </w:r>
      <w:r w:rsidR="00325571">
        <w:rPr>
          <w:lang w:eastAsia="zh-CN"/>
        </w:rPr>
        <w:t>applicable to applicable” update</w:t>
      </w:r>
      <w:r w:rsidR="00325571">
        <w:rPr>
          <w:rFonts w:hint="eastAsia"/>
          <w:lang w:eastAsia="zh-CN"/>
        </w:rPr>
        <w:t>.</w:t>
      </w:r>
    </w:p>
    <w:p w14:paraId="39CA99D0" w14:textId="05DC64AD" w:rsidR="00FC15F3" w:rsidRPr="00FC15F3" w:rsidRDefault="00FC15F3" w:rsidP="00FD11FF">
      <w:pPr>
        <w:overflowPunct w:val="0"/>
        <w:spacing w:before="120"/>
        <w:textAlignment w:val="baseline"/>
        <w:rPr>
          <w:b/>
          <w:lang w:eastAsia="zh-CN"/>
        </w:rPr>
      </w:pPr>
      <w:r w:rsidRPr="00FC15F3">
        <w:rPr>
          <w:b/>
          <w:lang w:eastAsia="zh-CN"/>
        </w:rPr>
        <w:t xml:space="preserve">Observation </w:t>
      </w:r>
      <w:r w:rsidR="001E3751">
        <w:rPr>
          <w:b/>
          <w:lang w:eastAsia="zh-CN"/>
        </w:rPr>
        <w:t>6</w:t>
      </w:r>
      <w:r w:rsidRPr="00FC15F3">
        <w:rPr>
          <w:b/>
          <w:lang w:eastAsia="zh-CN"/>
        </w:rPr>
        <w:t>:</w:t>
      </w:r>
      <w:r>
        <w:rPr>
          <w:b/>
          <w:lang w:eastAsia="zh-CN"/>
        </w:rPr>
        <w:t xml:space="preserve"> The prohibit timer can be applied to avoid the frequent report for the applicability update of functionalities. However, if the UE cannot report </w:t>
      </w:r>
      <w:r w:rsidRPr="00FC15F3">
        <w:rPr>
          <w:b/>
          <w:lang w:eastAsia="zh-CN"/>
        </w:rPr>
        <w:t xml:space="preserve">the “applicable to non-applicable” update timely, the NW may configure a non-applicable functionality for inference. </w:t>
      </w:r>
      <w:r>
        <w:rPr>
          <w:b/>
          <w:lang w:eastAsia="zh-CN"/>
        </w:rPr>
        <w:t xml:space="preserve"> If the UE cannot report </w:t>
      </w:r>
      <w:r w:rsidRPr="00FC15F3">
        <w:rPr>
          <w:b/>
          <w:lang w:eastAsia="zh-CN"/>
        </w:rPr>
        <w:t>the “</w:t>
      </w:r>
      <w:r>
        <w:rPr>
          <w:b/>
          <w:lang w:eastAsia="zh-CN"/>
        </w:rPr>
        <w:t xml:space="preserve">non-applicable to </w:t>
      </w:r>
      <w:r w:rsidRPr="00FC15F3">
        <w:rPr>
          <w:b/>
          <w:lang w:eastAsia="zh-CN"/>
        </w:rPr>
        <w:t>applicable” update timely, the NW</w:t>
      </w:r>
      <w:r>
        <w:rPr>
          <w:b/>
          <w:lang w:eastAsia="zh-CN"/>
        </w:rPr>
        <w:t xml:space="preserve"> cannot </w:t>
      </w:r>
      <w:r w:rsidRPr="00FC15F3">
        <w:rPr>
          <w:b/>
          <w:lang w:eastAsia="zh-CN"/>
        </w:rPr>
        <w:t>configure the functionality for inference immediately</w:t>
      </w:r>
      <w:r>
        <w:rPr>
          <w:b/>
          <w:lang w:eastAsia="zh-CN"/>
        </w:rPr>
        <w:t xml:space="preserve"> when</w:t>
      </w:r>
      <w:r w:rsidRPr="00FC15F3">
        <w:rPr>
          <w:b/>
          <w:lang w:eastAsia="zh-CN"/>
        </w:rPr>
        <w:t xml:space="preserve"> the NW is i</w:t>
      </w:r>
      <w:r>
        <w:rPr>
          <w:b/>
          <w:lang w:eastAsia="zh-CN"/>
        </w:rPr>
        <w:t>nterested in this functionality</w:t>
      </w:r>
      <w:r w:rsidRPr="00FC15F3">
        <w:rPr>
          <w:b/>
          <w:lang w:eastAsia="zh-CN"/>
        </w:rPr>
        <w:t>.</w:t>
      </w:r>
    </w:p>
    <w:p w14:paraId="49C921B6" w14:textId="6BA0779C" w:rsidR="00325571" w:rsidRPr="00325571" w:rsidRDefault="00325571" w:rsidP="00FD11FF">
      <w:pPr>
        <w:overflowPunct w:val="0"/>
        <w:spacing w:before="120"/>
        <w:textAlignment w:val="baseline"/>
        <w:rPr>
          <w:b/>
          <w:lang w:eastAsia="zh-CN"/>
        </w:rPr>
      </w:pPr>
      <w:r w:rsidRPr="00325571">
        <w:rPr>
          <w:b/>
          <w:lang w:eastAsia="zh-CN"/>
        </w:rPr>
        <w:t xml:space="preserve">Proposal </w:t>
      </w:r>
      <w:r w:rsidR="006C6630">
        <w:rPr>
          <w:b/>
          <w:lang w:eastAsia="zh-CN"/>
        </w:rPr>
        <w:t>8</w:t>
      </w:r>
      <w:r w:rsidRPr="00325571">
        <w:rPr>
          <w:rFonts w:hint="eastAsia"/>
          <w:b/>
          <w:lang w:eastAsia="zh-CN"/>
        </w:rPr>
        <w:t>:</w:t>
      </w:r>
      <w:r w:rsidRPr="00325571">
        <w:rPr>
          <w:b/>
          <w:lang w:eastAsia="zh-CN"/>
        </w:rPr>
        <w:t xml:space="preserve"> </w:t>
      </w:r>
      <w:r w:rsidR="00FC15F3">
        <w:rPr>
          <w:b/>
          <w:lang w:eastAsia="zh-CN"/>
        </w:rPr>
        <w:t>T</w:t>
      </w:r>
      <w:r w:rsidR="00FC15F3" w:rsidRPr="00FC15F3">
        <w:rPr>
          <w:b/>
          <w:lang w:eastAsia="zh-CN"/>
        </w:rPr>
        <w:t xml:space="preserve">he NW can configure </w:t>
      </w:r>
      <w:r w:rsidR="00FC15F3">
        <w:rPr>
          <w:b/>
          <w:lang w:eastAsia="zh-CN"/>
        </w:rPr>
        <w:t>different</w:t>
      </w:r>
      <w:r w:rsidR="00FC15F3" w:rsidRPr="00FC15F3">
        <w:rPr>
          <w:b/>
          <w:lang w:eastAsia="zh-CN"/>
        </w:rPr>
        <w:t xml:space="preserve"> value</w:t>
      </w:r>
      <w:r w:rsidR="00FC15F3">
        <w:rPr>
          <w:b/>
          <w:lang w:eastAsia="zh-CN"/>
        </w:rPr>
        <w:t>s</w:t>
      </w:r>
      <w:r w:rsidR="00FC15F3" w:rsidRPr="00FC15F3">
        <w:rPr>
          <w:b/>
          <w:lang w:eastAsia="zh-CN"/>
        </w:rPr>
        <w:t xml:space="preserve"> of the prohibit timer for “applicable to non-applicable” update </w:t>
      </w:r>
      <w:r w:rsidR="00FC15F3">
        <w:rPr>
          <w:b/>
          <w:lang w:eastAsia="zh-CN"/>
        </w:rPr>
        <w:t xml:space="preserve">and </w:t>
      </w:r>
      <w:r w:rsidR="00FC15F3" w:rsidRPr="00FC15F3">
        <w:rPr>
          <w:b/>
          <w:lang w:eastAsia="zh-CN"/>
        </w:rPr>
        <w:t>“non-applicable to applicable” update</w:t>
      </w:r>
      <w:r w:rsidR="00EA4835">
        <w:rPr>
          <w:b/>
          <w:lang w:eastAsia="zh-CN"/>
        </w:rPr>
        <w:t xml:space="preserve"> to be applied for functionalities that are not currently configured for inference operation</w:t>
      </w:r>
      <w:r w:rsidR="00FC15F3" w:rsidRPr="00FC15F3">
        <w:rPr>
          <w:b/>
          <w:lang w:eastAsia="zh-CN"/>
        </w:rPr>
        <w:t>.</w:t>
      </w:r>
      <w:r w:rsidR="00EA4835">
        <w:rPr>
          <w:b/>
          <w:lang w:eastAsia="zh-CN"/>
        </w:rPr>
        <w:t xml:space="preserve"> If a functionality that </w:t>
      </w:r>
      <w:r w:rsidR="00293DF0">
        <w:rPr>
          <w:b/>
          <w:lang w:eastAsia="zh-CN"/>
        </w:rPr>
        <w:t>is</w:t>
      </w:r>
      <w:r w:rsidR="00EA4835">
        <w:rPr>
          <w:b/>
          <w:lang w:eastAsia="zh-CN"/>
        </w:rPr>
        <w:t xml:space="preserve"> currently configured for inference operation becomes non-applicable, the UE should immediately report the status change.</w:t>
      </w:r>
    </w:p>
    <w:p w14:paraId="20ABAA8B" w14:textId="1205C9A2" w:rsidR="00621171" w:rsidRDefault="00F963B4" w:rsidP="00621171">
      <w:pPr>
        <w:pStyle w:val="Heading2"/>
        <w:rPr>
          <w:rFonts w:ascii="Arial" w:eastAsia="Times New Roman" w:hAnsi="Arial"/>
          <w:b w:val="0"/>
          <w:bCs w:val="0"/>
          <w:sz w:val="28"/>
          <w:szCs w:val="20"/>
          <w:lang w:eastAsia="en-GB"/>
        </w:rPr>
      </w:pPr>
      <w:r>
        <w:rPr>
          <w:rFonts w:ascii="Arial" w:eastAsia="Times New Roman" w:hAnsi="Arial"/>
          <w:b w:val="0"/>
          <w:bCs w:val="0"/>
          <w:sz w:val="28"/>
          <w:szCs w:val="20"/>
          <w:lang w:eastAsia="en-GB"/>
        </w:rPr>
        <w:t xml:space="preserve">Performance </w:t>
      </w:r>
      <w:r w:rsidR="00C10B47">
        <w:rPr>
          <w:rFonts w:ascii="Arial" w:eastAsia="Times New Roman" w:hAnsi="Arial"/>
          <w:b w:val="0"/>
          <w:bCs w:val="0"/>
          <w:sz w:val="28"/>
          <w:szCs w:val="20"/>
          <w:lang w:eastAsia="en-GB"/>
        </w:rPr>
        <w:t>monitoring</w:t>
      </w:r>
    </w:p>
    <w:p w14:paraId="02FE4FA6" w14:textId="432BCDD6" w:rsidR="00D726F5" w:rsidRDefault="00D726F5" w:rsidP="00D726F5">
      <w:pPr>
        <w:pStyle w:val="CommentText"/>
        <w:rPr>
          <w:lang w:eastAsia="zh-CN"/>
        </w:rPr>
      </w:pPr>
      <w:r w:rsidRPr="00355E3D">
        <w:rPr>
          <w:lang w:eastAsia="zh-CN"/>
        </w:rPr>
        <w:t xml:space="preserve">In RAN1 </w:t>
      </w:r>
      <w:r>
        <w:rPr>
          <w:lang w:eastAsia="zh-CN"/>
        </w:rPr>
        <w:t>#</w:t>
      </w:r>
      <w:r w:rsidRPr="00355E3D">
        <w:rPr>
          <w:lang w:eastAsia="zh-CN"/>
        </w:rPr>
        <w:t xml:space="preserve">118bis meeting, RAN1 has agreed </w:t>
      </w:r>
      <w:r>
        <w:rPr>
          <w:lang w:eastAsia="zh-CN"/>
        </w:rPr>
        <w:t>T</w:t>
      </w:r>
      <w:r w:rsidRPr="00355E3D">
        <w:rPr>
          <w:lang w:eastAsia="zh-CN"/>
        </w:rPr>
        <w:t xml:space="preserve">ype 1 </w:t>
      </w:r>
      <w:r>
        <w:rPr>
          <w:lang w:eastAsia="zh-CN"/>
        </w:rPr>
        <w:t>O</w:t>
      </w:r>
      <w:r w:rsidRPr="00355E3D">
        <w:rPr>
          <w:lang w:eastAsia="zh-CN"/>
        </w:rPr>
        <w:t xml:space="preserve">ption 2 </w:t>
      </w:r>
      <w:r>
        <w:rPr>
          <w:lang w:eastAsia="zh-CN"/>
        </w:rPr>
        <w:t xml:space="preserve">where UE-assisted performance metric is reported to NW </w:t>
      </w:r>
      <w:r>
        <w:rPr>
          <w:rFonts w:hint="eastAsia"/>
          <w:lang w:eastAsia="zh-CN"/>
        </w:rPr>
        <w:t>for</w:t>
      </w:r>
      <w:r>
        <w:rPr>
          <w:lang w:eastAsia="zh-CN"/>
        </w:rPr>
        <w:t xml:space="preserve"> performance monitoring. In RAN1 #119, RAN1 further agreed that the monitoring Type 1 Option 2 support the reusing of </w:t>
      </w:r>
      <w:r w:rsidRPr="00043CF9">
        <w:rPr>
          <w:lang w:eastAsia="zh-CN"/>
        </w:rPr>
        <w:t>CSI framework</w:t>
      </w:r>
      <w:r w:rsidRPr="00043CF9">
        <w:rPr>
          <w:lang w:eastAsia="de-DE"/>
        </w:rPr>
        <w:t xml:space="preserve"> for </w:t>
      </w:r>
      <w:r w:rsidRPr="00043CF9">
        <w:rPr>
          <w:lang w:eastAsia="zh-CN"/>
        </w:rPr>
        <w:t>the configuration for monitoring result report in L1</w:t>
      </w:r>
      <w:r w:rsidRPr="00043CF9">
        <w:t xml:space="preserve"> </w:t>
      </w:r>
      <w:r w:rsidRPr="00043CF9">
        <w:rPr>
          <w:lang w:eastAsia="zh-CN"/>
        </w:rPr>
        <w:t>signaling</w:t>
      </w:r>
      <w:r>
        <w:rPr>
          <w:lang w:eastAsia="zh-CN"/>
        </w:rPr>
        <w:t>:</w:t>
      </w:r>
    </w:p>
    <w:tbl>
      <w:tblPr>
        <w:tblStyle w:val="10"/>
        <w:tblW w:w="0" w:type="auto"/>
        <w:tblLook w:val="04A0" w:firstRow="1" w:lastRow="0" w:firstColumn="1" w:lastColumn="0" w:noHBand="0" w:noVBand="1"/>
      </w:tblPr>
      <w:tblGrid>
        <w:gridCol w:w="9307"/>
      </w:tblGrid>
      <w:tr w:rsidR="00D726F5" w14:paraId="48F45BF5" w14:textId="77777777" w:rsidTr="005436D9">
        <w:tc>
          <w:tcPr>
            <w:tcW w:w="9307" w:type="dxa"/>
          </w:tcPr>
          <w:p w14:paraId="02396195" w14:textId="77777777" w:rsidR="00D726F5" w:rsidRPr="00985948" w:rsidRDefault="00D726F5" w:rsidP="00D726F5">
            <w:pPr>
              <w:rPr>
                <w:highlight w:val="green"/>
              </w:rPr>
            </w:pPr>
            <w:r w:rsidRPr="00985948">
              <w:rPr>
                <w:rFonts w:hint="eastAsia"/>
                <w:highlight w:val="green"/>
              </w:rPr>
              <w:lastRenderedPageBreak/>
              <w:t>Agreement</w:t>
            </w:r>
          </w:p>
          <w:p w14:paraId="6E61450D" w14:textId="77777777" w:rsidR="00D726F5" w:rsidRPr="00043CF9" w:rsidRDefault="00D726F5" w:rsidP="00D726F5">
            <w:r>
              <w:rPr>
                <w:lang w:eastAsia="de-DE"/>
              </w:rPr>
              <w:t xml:space="preserve">At least </w:t>
            </w:r>
            <w:r>
              <w:rPr>
                <w:color w:val="000000"/>
                <w:lang w:eastAsia="de-DE"/>
              </w:rPr>
              <w:t>fo</w:t>
            </w:r>
            <w:r w:rsidRPr="00043CF9">
              <w:rPr>
                <w:lang w:eastAsia="de-DE"/>
              </w:rPr>
              <w:t xml:space="preserve">r the monitoring Type 1 Option 2 of UE-side model monitoring (when applicable), </w:t>
            </w:r>
            <w:r w:rsidRPr="00043CF9">
              <w:t>support to reuse CSI framework</w:t>
            </w:r>
            <w:r w:rsidRPr="00043CF9">
              <w:rPr>
                <w:lang w:eastAsia="de-DE"/>
              </w:rPr>
              <w:t xml:space="preserve"> for </w:t>
            </w:r>
            <w:r w:rsidRPr="00043CF9">
              <w:t xml:space="preserve">the configuration for monitoring result report in L1 signaling: </w:t>
            </w:r>
          </w:p>
          <w:p w14:paraId="24A2FF35" w14:textId="77777777" w:rsidR="00D726F5" w:rsidRPr="00043CF9" w:rsidRDefault="00D726F5" w:rsidP="00D726F5">
            <w:pPr>
              <w:pStyle w:val="ListParagraph"/>
              <w:numPr>
                <w:ilvl w:val="0"/>
                <w:numId w:val="9"/>
              </w:numPr>
              <w:autoSpaceDE/>
              <w:autoSpaceDN/>
              <w:adjustRightInd/>
              <w:snapToGrid/>
              <w:spacing w:after="0" w:line="278" w:lineRule="auto"/>
              <w:ind w:firstLineChars="0"/>
              <w:jc w:val="left"/>
            </w:pPr>
            <w:r w:rsidRPr="00043CF9">
              <w:rPr>
                <w:rFonts w:hint="eastAsia"/>
              </w:rPr>
              <w:t>Dedicated resource set(s) for monitoring and report configuration for monitoring are configured in a dedicated CSI report configuration used for monitoring</w:t>
            </w:r>
          </w:p>
          <w:p w14:paraId="1C256BFF" w14:textId="77777777" w:rsidR="00D726F5" w:rsidRPr="00043CF9" w:rsidRDefault="00D726F5" w:rsidP="00D726F5">
            <w:pPr>
              <w:pStyle w:val="ListParagraph"/>
              <w:numPr>
                <w:ilvl w:val="1"/>
                <w:numId w:val="9"/>
              </w:numPr>
              <w:tabs>
                <w:tab w:val="left" w:pos="720"/>
                <w:tab w:val="left" w:pos="2160"/>
                <w:tab w:val="left" w:pos="2880"/>
              </w:tabs>
              <w:autoSpaceDE/>
              <w:autoSpaceDN/>
              <w:adjustRightInd/>
              <w:snapToGrid/>
              <w:spacing w:after="0"/>
              <w:ind w:firstLineChars="0"/>
              <w:jc w:val="left"/>
            </w:pPr>
            <w:r w:rsidRPr="00043CF9">
              <w:t>The ID of an inference report configuration is configured in the configuration for monitoring to link the inference report configuration and monitoring report configuration</w:t>
            </w:r>
          </w:p>
          <w:p w14:paraId="62ACE403" w14:textId="77777777" w:rsidR="00D726F5" w:rsidRPr="00043CF9" w:rsidRDefault="00D726F5" w:rsidP="00D726F5">
            <w:pPr>
              <w:pStyle w:val="ListParagraph"/>
              <w:numPr>
                <w:ilvl w:val="2"/>
                <w:numId w:val="9"/>
              </w:numPr>
              <w:autoSpaceDE/>
              <w:autoSpaceDN/>
              <w:adjustRightInd/>
              <w:snapToGrid/>
              <w:spacing w:after="0"/>
              <w:ind w:firstLineChars="0"/>
              <w:jc w:val="left"/>
              <w:rPr>
                <w:lang w:val="de-DE" w:eastAsia="de-DE"/>
              </w:rPr>
            </w:pPr>
            <w:r w:rsidRPr="00043CF9">
              <w:rPr>
                <w:rFonts w:hint="eastAsia"/>
                <w:lang w:val="de-DE"/>
              </w:rPr>
              <w:t>FFS how to identify the connection between RSs in the resource set(s) for monitoring and Set A beams</w:t>
            </w:r>
          </w:p>
          <w:p w14:paraId="1DB420C8" w14:textId="77777777" w:rsidR="00D726F5" w:rsidRPr="00043CF9" w:rsidRDefault="00D726F5" w:rsidP="00D726F5">
            <w:pPr>
              <w:pStyle w:val="ListParagraph"/>
              <w:numPr>
                <w:ilvl w:val="1"/>
                <w:numId w:val="9"/>
              </w:numPr>
              <w:tabs>
                <w:tab w:val="left" w:pos="2160"/>
              </w:tabs>
              <w:autoSpaceDE/>
              <w:autoSpaceDN/>
              <w:adjustRightInd/>
              <w:snapToGrid/>
              <w:spacing w:after="0"/>
              <w:ind w:firstLineChars="0"/>
              <w:jc w:val="left"/>
              <w:rPr>
                <w:lang w:val="de-DE" w:eastAsia="de-DE"/>
              </w:rPr>
            </w:pPr>
            <w:r w:rsidRPr="00043CF9">
              <w:rPr>
                <w:lang w:val="de-DE"/>
              </w:rPr>
              <w:t xml:space="preserve">FFS on whether to support all the </w:t>
            </w:r>
            <w:r w:rsidRPr="00043CF9">
              <w:rPr>
                <w:rFonts w:hint="eastAsia"/>
                <w:lang w:val="de-DE"/>
              </w:rPr>
              <w:t>combination on time domain behavior</w:t>
            </w:r>
            <w:r w:rsidRPr="00043CF9">
              <w:rPr>
                <w:lang w:val="de-DE"/>
              </w:rPr>
              <w:t xml:space="preserve"> of the </w:t>
            </w:r>
            <w:r w:rsidRPr="00043CF9">
              <w:rPr>
                <w:i/>
                <w:iCs/>
                <w:lang w:val="de-DE"/>
              </w:rPr>
              <w:t>reportConfigType</w:t>
            </w:r>
            <w:r w:rsidRPr="00043CF9">
              <w:rPr>
                <w:lang w:val="de-DE"/>
              </w:rPr>
              <w:t xml:space="preserve"> for infernece report and the </w:t>
            </w:r>
            <w:r w:rsidRPr="00043CF9">
              <w:rPr>
                <w:i/>
                <w:iCs/>
                <w:lang w:val="de-DE"/>
              </w:rPr>
              <w:t>reportConfigType</w:t>
            </w:r>
            <w:r w:rsidRPr="00043CF9">
              <w:rPr>
                <w:lang w:val="de-DE"/>
              </w:rPr>
              <w:t xml:space="preserve"> for monitoring report </w:t>
            </w:r>
          </w:p>
          <w:p w14:paraId="225A5C65" w14:textId="77777777" w:rsidR="00D726F5" w:rsidRPr="00043CF9" w:rsidRDefault="00D726F5" w:rsidP="00D726F5">
            <w:pPr>
              <w:pStyle w:val="ListParagraph"/>
              <w:numPr>
                <w:ilvl w:val="1"/>
                <w:numId w:val="9"/>
              </w:numPr>
              <w:tabs>
                <w:tab w:val="left" w:pos="2160"/>
              </w:tabs>
              <w:autoSpaceDE/>
              <w:autoSpaceDN/>
              <w:adjustRightInd/>
              <w:snapToGrid/>
              <w:spacing w:after="0"/>
              <w:ind w:firstLineChars="0"/>
              <w:jc w:val="left"/>
              <w:rPr>
                <w:lang w:val="de-DE" w:eastAsia="de-DE"/>
              </w:rPr>
            </w:pPr>
            <w:r w:rsidRPr="00043CF9">
              <w:rPr>
                <w:rFonts w:hint="eastAsia"/>
                <w:lang w:val="de-DE"/>
              </w:rPr>
              <w:t>FFS on the timing related issues</w:t>
            </w:r>
          </w:p>
          <w:p w14:paraId="7F9749F5" w14:textId="77777777" w:rsidR="00D726F5" w:rsidRDefault="00D726F5" w:rsidP="00D726F5">
            <w:pPr>
              <w:pStyle w:val="CommentText"/>
            </w:pPr>
            <w:r w:rsidRPr="00043CF9">
              <w:rPr>
                <w:rFonts w:hint="eastAsia"/>
              </w:rPr>
              <w:t>UE measures the</w:t>
            </w:r>
            <w:r w:rsidRPr="00043CF9">
              <w:t xml:space="preserve"> dedicated</w:t>
            </w:r>
            <w:r w:rsidRPr="00043CF9">
              <w:rPr>
                <w:rFonts w:hint="eastAsia"/>
              </w:rPr>
              <w:t xml:space="preserve"> resource set(s) for monitoring.</w:t>
            </w:r>
          </w:p>
          <w:p w14:paraId="7DA1F301" w14:textId="77777777" w:rsidR="00D726F5" w:rsidRPr="00D726F5" w:rsidRDefault="00D726F5" w:rsidP="00D726F5">
            <w:pPr>
              <w:pStyle w:val="CommentText"/>
            </w:pPr>
          </w:p>
        </w:tc>
      </w:tr>
    </w:tbl>
    <w:p w14:paraId="38603F01" w14:textId="25072D2A" w:rsidR="00D726F5" w:rsidRDefault="00D726F5" w:rsidP="00D726F5">
      <w:pPr>
        <w:pStyle w:val="CommentText"/>
      </w:pPr>
      <w:r>
        <w:t>Hence, for the time being, there seems to be no RAN2 impact other than ASN.1 impact.</w:t>
      </w:r>
    </w:p>
    <w:p w14:paraId="5F5DD231" w14:textId="0619919D" w:rsidR="00D726F5" w:rsidRPr="005436D9" w:rsidRDefault="00D726F5" w:rsidP="00D726F5">
      <w:pPr>
        <w:pStyle w:val="CommentText"/>
        <w:rPr>
          <w:b/>
          <w:bCs/>
        </w:rPr>
      </w:pPr>
      <w:r w:rsidRPr="005436D9">
        <w:rPr>
          <w:b/>
          <w:bCs/>
        </w:rPr>
        <w:t xml:space="preserve">Proposal </w:t>
      </w:r>
      <w:r w:rsidR="006C6630">
        <w:rPr>
          <w:b/>
          <w:bCs/>
        </w:rPr>
        <w:t>9</w:t>
      </w:r>
      <w:r w:rsidRPr="005436D9">
        <w:rPr>
          <w:b/>
          <w:bCs/>
        </w:rPr>
        <w:t xml:space="preserve">: For monitoring Type 1 Option 2 of UE-side model monitoring, there is no RAN2 impact currently based on RAN1 progress so far other than possible ASN.1 impact. </w:t>
      </w:r>
    </w:p>
    <w:p w14:paraId="11F546F6" w14:textId="0EC878E7" w:rsidR="00D458FC" w:rsidRPr="00C02CCE" w:rsidRDefault="00D458FC" w:rsidP="001836E6">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C02CCE">
        <w:rPr>
          <w:rFonts w:ascii="Arial" w:eastAsia="Times New Roman" w:hAnsi="Arial" w:hint="eastAsia"/>
          <w:b w:val="0"/>
          <w:bCs w:val="0"/>
          <w:sz w:val="36"/>
          <w:szCs w:val="20"/>
          <w:lang w:eastAsia="en-GB"/>
        </w:rPr>
        <w:t>Conclusion</w:t>
      </w:r>
    </w:p>
    <w:p w14:paraId="000C47D6" w14:textId="38C84FF8" w:rsidR="00F50588" w:rsidRDefault="00152EE2" w:rsidP="00F50588">
      <w:pPr>
        <w:rPr>
          <w:color w:val="000000" w:themeColor="text1"/>
          <w:kern w:val="2"/>
          <w:lang w:val="en-GB" w:eastAsia="zh-CN"/>
        </w:rPr>
      </w:pPr>
      <w:r w:rsidRPr="00C02CCE">
        <w:rPr>
          <w:lang w:eastAsia="zh-CN"/>
        </w:rPr>
        <w:t xml:space="preserve">In this paper, </w:t>
      </w:r>
      <w:r w:rsidR="00820FF7">
        <w:rPr>
          <w:color w:val="000000" w:themeColor="text1"/>
          <w:kern w:val="2"/>
          <w:lang w:val="en-GB" w:eastAsia="zh-CN"/>
        </w:rPr>
        <w:t>o</w:t>
      </w:r>
      <w:r w:rsidR="00820FF7" w:rsidRPr="00340072">
        <w:rPr>
          <w:color w:val="000000" w:themeColor="text1"/>
          <w:kern w:val="2"/>
          <w:lang w:val="en-GB" w:eastAsia="zh-CN"/>
        </w:rPr>
        <w:t>ur</w:t>
      </w:r>
      <w:r w:rsidR="00820FF7">
        <w:rPr>
          <w:color w:val="000000" w:themeColor="text1"/>
          <w:kern w:val="2"/>
          <w:lang w:val="en-GB" w:eastAsia="zh-CN"/>
        </w:rPr>
        <w:t xml:space="preserve"> observations and </w:t>
      </w:r>
      <w:r w:rsidR="00820FF7" w:rsidRPr="00340072">
        <w:rPr>
          <w:color w:val="000000" w:themeColor="text1"/>
          <w:kern w:val="2"/>
          <w:lang w:val="en-GB" w:eastAsia="zh-CN"/>
        </w:rPr>
        <w:t>proposals are summarized as follows:</w:t>
      </w:r>
    </w:p>
    <w:p w14:paraId="16B47D08" w14:textId="4A8B3D64" w:rsidR="00F50588" w:rsidRDefault="00F50588" w:rsidP="00F50588">
      <w:pPr>
        <w:rPr>
          <w:color w:val="000000" w:themeColor="text1"/>
          <w:kern w:val="2"/>
          <w:u w:val="single"/>
          <w:lang w:val="en-GB" w:eastAsia="zh-CN"/>
        </w:rPr>
      </w:pPr>
      <w:r w:rsidRPr="00100AF2">
        <w:rPr>
          <w:color w:val="000000" w:themeColor="text1"/>
          <w:kern w:val="2"/>
          <w:u w:val="single"/>
          <w:lang w:val="en-GB" w:eastAsia="zh-CN"/>
        </w:rPr>
        <w:t>Applicable functionality determination</w:t>
      </w:r>
    </w:p>
    <w:p w14:paraId="3E59333B" w14:textId="77777777" w:rsidR="005436D9" w:rsidRPr="005436D9" w:rsidRDefault="005436D9" w:rsidP="005436D9">
      <w:pPr>
        <w:pStyle w:val="Doc-text2"/>
        <w:ind w:left="0" w:firstLine="0"/>
        <w:jc w:val="both"/>
        <w:rPr>
          <w:rFonts w:ascii="Times New Roman" w:eastAsia="SimSun" w:hAnsi="Times New Roman"/>
          <w:b/>
          <w:sz w:val="22"/>
          <w:szCs w:val="22"/>
          <w:lang w:val="en-US" w:eastAsia="zh-CN"/>
        </w:rPr>
      </w:pPr>
      <w:r w:rsidRPr="005436D9">
        <w:rPr>
          <w:rFonts w:ascii="Times New Roman" w:eastAsia="SimSun" w:hAnsi="Times New Roman"/>
          <w:b/>
          <w:sz w:val="22"/>
          <w:szCs w:val="22"/>
          <w:lang w:val="en-US" w:eastAsia="zh-CN"/>
        </w:rPr>
        <w:t>Observation#1: Based on RAN1 LS, the functionalities can be configured/signalled in the following options in Step 3:</w:t>
      </w:r>
    </w:p>
    <w:p w14:paraId="7F0F405D" w14:textId="77777777" w:rsidR="005436D9" w:rsidRPr="005436D9" w:rsidRDefault="005436D9" w:rsidP="005436D9">
      <w:pPr>
        <w:pStyle w:val="Doc-text2"/>
        <w:numPr>
          <w:ilvl w:val="0"/>
          <w:numId w:val="20"/>
        </w:numPr>
        <w:jc w:val="both"/>
        <w:rPr>
          <w:rFonts w:ascii="Times New Roman" w:eastAsia="SimSun" w:hAnsi="Times New Roman"/>
          <w:b/>
          <w:sz w:val="22"/>
          <w:szCs w:val="22"/>
          <w:lang w:val="en-US" w:eastAsia="zh-CN"/>
        </w:rPr>
      </w:pPr>
      <w:r w:rsidRPr="005436D9">
        <w:rPr>
          <w:rFonts w:ascii="Times New Roman" w:eastAsia="SimSun" w:hAnsi="Times New Roman"/>
          <w:b/>
          <w:sz w:val="22"/>
          <w:szCs w:val="22"/>
          <w:lang w:val="en-US" w:eastAsia="zh-CN"/>
        </w:rPr>
        <w:t>Option 1: Only Direction A)</w:t>
      </w:r>
    </w:p>
    <w:p w14:paraId="07251923" w14:textId="77777777" w:rsidR="005436D9" w:rsidRPr="005436D9" w:rsidRDefault="005436D9" w:rsidP="005436D9">
      <w:pPr>
        <w:pStyle w:val="Doc-text2"/>
        <w:numPr>
          <w:ilvl w:val="0"/>
          <w:numId w:val="19"/>
        </w:numPr>
        <w:jc w:val="both"/>
        <w:rPr>
          <w:rFonts w:ascii="Times New Roman" w:eastAsia="SimSun" w:hAnsi="Times New Roman"/>
          <w:b/>
          <w:sz w:val="22"/>
          <w:szCs w:val="22"/>
          <w:lang w:val="en-US" w:eastAsia="zh-CN"/>
        </w:rPr>
      </w:pPr>
      <w:r w:rsidRPr="005436D9">
        <w:rPr>
          <w:rFonts w:ascii="Times New Roman" w:eastAsia="SimSun" w:hAnsi="Times New Roman"/>
          <w:b/>
          <w:sz w:val="22"/>
          <w:szCs w:val="22"/>
          <w:lang w:val="en-US" w:eastAsia="zh-CN"/>
        </w:rPr>
        <w:t>Option 2: Only Direction B)</w:t>
      </w:r>
    </w:p>
    <w:p w14:paraId="3542162D" w14:textId="0AD20ED6" w:rsidR="005436D9" w:rsidRPr="005436D9" w:rsidRDefault="005436D9" w:rsidP="005436D9">
      <w:pPr>
        <w:pStyle w:val="Doc-text2"/>
        <w:numPr>
          <w:ilvl w:val="0"/>
          <w:numId w:val="19"/>
        </w:numPr>
        <w:jc w:val="both"/>
        <w:rPr>
          <w:rFonts w:ascii="Times New Roman" w:eastAsia="SimSun" w:hAnsi="Times New Roman"/>
          <w:b/>
          <w:sz w:val="22"/>
          <w:szCs w:val="22"/>
          <w:lang w:val="en-US" w:eastAsia="zh-CN"/>
        </w:rPr>
      </w:pPr>
      <w:r w:rsidRPr="005436D9">
        <w:rPr>
          <w:rFonts w:ascii="Times New Roman" w:eastAsia="SimSun" w:hAnsi="Times New Roman"/>
          <w:b/>
          <w:sz w:val="22"/>
          <w:szCs w:val="22"/>
          <w:lang w:val="en-US" w:eastAsia="zh-CN"/>
        </w:rPr>
        <w:t>Option 3: Mix of Direction A and B (e.g., a functionality is partially defined by Direction A and partially defined by Direction B, some functionalities in Direction A and some functionalities in Direction B or even the same functionality is defined in Direction A as well as Direction)</w:t>
      </w:r>
    </w:p>
    <w:p w14:paraId="2D3FB33D" w14:textId="77777777" w:rsidR="005436D9" w:rsidRPr="005436D9" w:rsidRDefault="005436D9" w:rsidP="005436D9">
      <w:pPr>
        <w:rPr>
          <w:b/>
          <w:lang w:eastAsia="zh-CN"/>
        </w:rPr>
      </w:pPr>
      <w:r w:rsidRPr="005436D9">
        <w:rPr>
          <w:b/>
          <w:lang w:eastAsia="zh-CN"/>
        </w:rPr>
        <w:t>Proposal 1: As baseline, the RRC signalling for Direction A and B can be as follow:</w:t>
      </w:r>
    </w:p>
    <w:p w14:paraId="7FCBF243" w14:textId="77777777" w:rsidR="005436D9" w:rsidRPr="005436D9" w:rsidRDefault="005436D9" w:rsidP="005436D9">
      <w:pPr>
        <w:pStyle w:val="Doc-text2"/>
        <w:numPr>
          <w:ilvl w:val="0"/>
          <w:numId w:val="20"/>
        </w:numPr>
        <w:jc w:val="both"/>
        <w:rPr>
          <w:rFonts w:ascii="Times New Roman" w:eastAsia="SimSun" w:hAnsi="Times New Roman"/>
          <w:b/>
          <w:sz w:val="22"/>
          <w:szCs w:val="22"/>
          <w:lang w:val="en-US" w:eastAsia="zh-CN"/>
        </w:rPr>
      </w:pPr>
      <w:r w:rsidRPr="005436D9">
        <w:rPr>
          <w:rFonts w:ascii="Times New Roman" w:eastAsia="SimSun" w:hAnsi="Times New Roman"/>
          <w:b/>
          <w:sz w:val="22"/>
          <w:szCs w:val="22"/>
          <w:lang w:val="en-US" w:eastAsia="zh-CN"/>
        </w:rPr>
        <w:t xml:space="preserve">Option 1: Only Direction A): One or more CSI-ReportConfig configurations for inference is included as part of the existing CSI reporting framework/configuration. </w:t>
      </w:r>
    </w:p>
    <w:p w14:paraId="4E1A0301" w14:textId="77777777" w:rsidR="005436D9" w:rsidRPr="005436D9" w:rsidRDefault="005436D9" w:rsidP="005436D9">
      <w:pPr>
        <w:pStyle w:val="Doc-text2"/>
        <w:numPr>
          <w:ilvl w:val="0"/>
          <w:numId w:val="19"/>
        </w:numPr>
        <w:jc w:val="both"/>
        <w:rPr>
          <w:rFonts w:ascii="Times New Roman" w:eastAsia="SimSun" w:hAnsi="Times New Roman"/>
          <w:b/>
          <w:sz w:val="22"/>
          <w:szCs w:val="22"/>
          <w:lang w:val="en-US" w:eastAsia="zh-CN"/>
        </w:rPr>
      </w:pPr>
      <w:r w:rsidRPr="005436D9">
        <w:rPr>
          <w:rFonts w:ascii="Times New Roman" w:eastAsia="SimSun" w:hAnsi="Times New Roman"/>
          <w:b/>
          <w:sz w:val="22"/>
          <w:szCs w:val="22"/>
          <w:lang w:val="en-US" w:eastAsia="zh-CN"/>
        </w:rPr>
        <w:t xml:space="preserve">Option 2: Only Direction B): One set or multiple sets of inference related parameters for applicability report is included in </w:t>
      </w:r>
      <w:proofErr w:type="spellStart"/>
      <w:r w:rsidRPr="00E36D39">
        <w:rPr>
          <w:rFonts w:ascii="Times New Roman" w:eastAsia="SimSun" w:hAnsi="Times New Roman"/>
          <w:b/>
          <w:sz w:val="22"/>
          <w:szCs w:val="22"/>
          <w:lang w:val="en-US" w:eastAsia="zh-CN"/>
        </w:rPr>
        <w:t>OtherConfig</w:t>
      </w:r>
      <w:proofErr w:type="spellEnd"/>
      <w:r w:rsidRPr="005436D9">
        <w:rPr>
          <w:rFonts w:ascii="Times New Roman" w:eastAsia="SimSun" w:hAnsi="Times New Roman"/>
          <w:b/>
          <w:sz w:val="22"/>
          <w:szCs w:val="22"/>
          <w:lang w:val="en-US" w:eastAsia="zh-CN"/>
        </w:rPr>
        <w:t xml:space="preserve"> together with the configuration of UAI for applicability reporting</w:t>
      </w:r>
    </w:p>
    <w:p w14:paraId="2539F344" w14:textId="3AF4662B" w:rsidR="005436D9" w:rsidRPr="00E36D39" w:rsidRDefault="005436D9" w:rsidP="00E36D39">
      <w:pPr>
        <w:pStyle w:val="Doc-text2"/>
        <w:ind w:left="0" w:firstLine="0"/>
        <w:jc w:val="both"/>
        <w:rPr>
          <w:rFonts w:ascii="Times New Roman" w:eastAsia="SimSun" w:hAnsi="Times New Roman"/>
          <w:b/>
          <w:sz w:val="22"/>
          <w:szCs w:val="22"/>
          <w:lang w:val="en-US" w:eastAsia="zh-CN"/>
        </w:rPr>
      </w:pPr>
      <w:r w:rsidRPr="005436D9">
        <w:rPr>
          <w:rFonts w:ascii="Times New Roman" w:eastAsia="SimSun" w:hAnsi="Times New Roman"/>
          <w:b/>
          <w:sz w:val="22"/>
          <w:szCs w:val="22"/>
          <w:lang w:val="en-US" w:eastAsia="zh-CN"/>
        </w:rPr>
        <w:t xml:space="preserve">For Option 3: Mix of Direction A) and B) (which can be interpreted differently as e.g. a functionality is partially defined by Direction A and partially defined by Direction B, or some functionalities in Direction A and some functionalities in Direction B or even the same functionality is defined in Direction A as well as Direction): Wait for further progress/clarification from RAN1. </w:t>
      </w:r>
    </w:p>
    <w:p w14:paraId="7BEC22B0" w14:textId="77777777" w:rsidR="00DF4402" w:rsidRDefault="00DF4402" w:rsidP="005436D9">
      <w:pPr>
        <w:rPr>
          <w:rFonts w:eastAsia="Calibri"/>
          <w:b/>
        </w:rPr>
      </w:pPr>
    </w:p>
    <w:p w14:paraId="4E3CFE6C" w14:textId="19A8CDCE" w:rsidR="005436D9" w:rsidRDefault="005436D9" w:rsidP="005436D9">
      <w:pPr>
        <w:rPr>
          <w:rFonts w:eastAsia="Calibri"/>
          <w:b/>
          <w:bCs/>
        </w:rPr>
      </w:pPr>
      <w:r w:rsidRPr="00391F7A">
        <w:rPr>
          <w:rFonts w:eastAsia="Calibri"/>
          <w:b/>
        </w:rPr>
        <w:t>Observation#</w:t>
      </w:r>
      <w:r>
        <w:rPr>
          <w:rFonts w:eastAsia="Calibri"/>
          <w:b/>
        </w:rPr>
        <w:t>2</w:t>
      </w:r>
      <w:r w:rsidRPr="00391F7A">
        <w:rPr>
          <w:rFonts w:eastAsia="Calibri"/>
          <w:b/>
        </w:rPr>
        <w:t>:</w:t>
      </w:r>
      <w:r>
        <w:rPr>
          <w:rFonts w:eastAsia="Calibri"/>
        </w:rPr>
        <w:t xml:space="preserve"> </w:t>
      </w:r>
      <w:r w:rsidRPr="0018342E">
        <w:rPr>
          <w:rFonts w:eastAsia="Calibri"/>
          <w:b/>
          <w:bCs/>
        </w:rPr>
        <w:t xml:space="preserve">Based on the RAN1’s agreement for </w:t>
      </w:r>
      <w:r>
        <w:rPr>
          <w:rFonts w:eastAsia="Calibri"/>
          <w:b/>
          <w:bCs/>
        </w:rPr>
        <w:t>Direction A and B</w:t>
      </w:r>
      <w:r w:rsidRPr="0018342E">
        <w:rPr>
          <w:rFonts w:eastAsia="Calibri"/>
          <w:b/>
          <w:bCs/>
        </w:rPr>
        <w:t xml:space="preserve">, the NW-side additional condition can be indicated in Step 3 optionally. For </w:t>
      </w:r>
      <w:r>
        <w:rPr>
          <w:rFonts w:eastAsia="Calibri"/>
          <w:b/>
          <w:bCs/>
        </w:rPr>
        <w:t>Direction B</w:t>
      </w:r>
      <w:r w:rsidRPr="0018342E">
        <w:rPr>
          <w:rFonts w:eastAsia="Calibri"/>
          <w:b/>
          <w:bCs/>
        </w:rPr>
        <w:t>, the associated ID can also be optionally indicated by the UE to the NW in Step 4.</w:t>
      </w:r>
    </w:p>
    <w:p w14:paraId="1E201FC4" w14:textId="77777777" w:rsidR="005436D9" w:rsidRDefault="005436D9" w:rsidP="005436D9">
      <w:pPr>
        <w:tabs>
          <w:tab w:val="left" w:pos="5245"/>
        </w:tabs>
        <w:rPr>
          <w:b/>
          <w:lang w:eastAsia="zh-CN"/>
        </w:rPr>
      </w:pPr>
      <w:r w:rsidRPr="00A75C40">
        <w:rPr>
          <w:b/>
          <w:lang w:eastAsia="zh-CN"/>
        </w:rPr>
        <w:t xml:space="preserve">Proposal </w:t>
      </w:r>
      <w:r>
        <w:rPr>
          <w:b/>
          <w:lang w:eastAsia="zh-CN"/>
        </w:rPr>
        <w:t>2</w:t>
      </w:r>
      <w:r w:rsidRPr="00A75C40">
        <w:rPr>
          <w:rFonts w:hint="eastAsia"/>
          <w:b/>
          <w:lang w:eastAsia="zh-CN"/>
        </w:rPr>
        <w:t>:</w:t>
      </w:r>
      <w:r>
        <w:rPr>
          <w:b/>
          <w:lang w:eastAsia="zh-CN"/>
        </w:rPr>
        <w:t xml:space="preserve"> The </w:t>
      </w:r>
      <w:r w:rsidRPr="00674AA4">
        <w:rPr>
          <w:b/>
          <w:lang w:eastAsia="zh-CN"/>
        </w:rPr>
        <w:t>NW-side additional condition is optional</w:t>
      </w:r>
      <w:r>
        <w:rPr>
          <w:b/>
          <w:lang w:eastAsia="zh-CN"/>
        </w:rPr>
        <w:t xml:space="preserve"> in Step 3. The NW can decide whethe</w:t>
      </w:r>
      <w:r>
        <w:rPr>
          <w:rFonts w:hint="eastAsia"/>
          <w:b/>
          <w:lang w:eastAsia="zh-CN"/>
        </w:rPr>
        <w:t>r</w:t>
      </w:r>
      <w:r>
        <w:rPr>
          <w:b/>
          <w:lang w:eastAsia="zh-CN"/>
        </w:rPr>
        <w:t xml:space="preserve"> to provide the </w:t>
      </w:r>
      <w:r w:rsidRPr="00674AA4">
        <w:rPr>
          <w:b/>
          <w:lang w:eastAsia="zh-CN"/>
        </w:rPr>
        <w:t>NW-side additional condition</w:t>
      </w:r>
      <w:r>
        <w:rPr>
          <w:b/>
          <w:lang w:eastAsia="zh-CN"/>
        </w:rPr>
        <w:t xml:space="preserve"> by implementation, and the applicable functionalities determination can be supported in the following ways</w:t>
      </w:r>
      <w:r>
        <w:rPr>
          <w:rFonts w:hint="eastAsia"/>
          <w:b/>
          <w:lang w:eastAsia="zh-CN"/>
        </w:rPr>
        <w:t>:</w:t>
      </w:r>
    </w:p>
    <w:p w14:paraId="516F699C" w14:textId="77777777" w:rsidR="005436D9" w:rsidRPr="009B3269" w:rsidRDefault="005436D9" w:rsidP="005436D9">
      <w:pPr>
        <w:pStyle w:val="ListParagraph"/>
        <w:numPr>
          <w:ilvl w:val="0"/>
          <w:numId w:val="31"/>
        </w:numPr>
        <w:tabs>
          <w:tab w:val="left" w:pos="5245"/>
        </w:tabs>
        <w:ind w:firstLineChars="0"/>
        <w:rPr>
          <w:b/>
          <w:lang w:eastAsia="zh-CN"/>
        </w:rPr>
      </w:pPr>
      <w:r>
        <w:rPr>
          <w:b/>
          <w:lang w:eastAsia="zh-CN"/>
        </w:rPr>
        <w:lastRenderedPageBreak/>
        <w:t>In case the network does not provide the UE with associated IDs, the UE performs applicable functionality filtering without considering NW-side additional conditions and reports the (UE-considered) applicable functionalities together with their associated IDs, if available</w:t>
      </w:r>
      <w:r w:rsidRPr="009B3269">
        <w:rPr>
          <w:b/>
          <w:lang w:eastAsia="zh-CN"/>
        </w:rPr>
        <w:t>.</w:t>
      </w:r>
      <w:r>
        <w:rPr>
          <w:b/>
          <w:lang w:eastAsia="zh-CN"/>
        </w:rPr>
        <w:t xml:space="preserve"> </w:t>
      </w:r>
    </w:p>
    <w:p w14:paraId="3A33637C" w14:textId="77777777" w:rsidR="005436D9" w:rsidRDefault="005436D9" w:rsidP="005436D9">
      <w:pPr>
        <w:pStyle w:val="ListParagraph"/>
        <w:numPr>
          <w:ilvl w:val="0"/>
          <w:numId w:val="31"/>
        </w:numPr>
        <w:tabs>
          <w:tab w:val="left" w:pos="5245"/>
        </w:tabs>
        <w:ind w:firstLineChars="0"/>
        <w:rPr>
          <w:b/>
          <w:lang w:eastAsia="zh-CN"/>
        </w:rPr>
      </w:pPr>
      <w:r>
        <w:rPr>
          <w:b/>
          <w:lang w:eastAsia="zh-CN"/>
        </w:rPr>
        <w:t xml:space="preserve">In case the network provides the UE with associated IDs, the UE performs applicable functionality filtering considering them and only reports the functionalities meeting the NW-side additional condition. </w:t>
      </w:r>
    </w:p>
    <w:p w14:paraId="3C702979" w14:textId="0D7BCED9" w:rsidR="00100AF2" w:rsidRDefault="00100AF2" w:rsidP="00100AF2">
      <w:pPr>
        <w:rPr>
          <w:color w:val="000000" w:themeColor="text1"/>
          <w:kern w:val="2"/>
          <w:u w:val="single"/>
          <w:lang w:val="en-GB" w:eastAsia="zh-CN"/>
        </w:rPr>
      </w:pPr>
      <w:r w:rsidRPr="00100AF2">
        <w:rPr>
          <w:color w:val="000000" w:themeColor="text1"/>
          <w:kern w:val="2"/>
          <w:u w:val="single"/>
          <w:lang w:val="en-GB" w:eastAsia="zh-CN"/>
        </w:rPr>
        <w:t>Applicable functionality reporting procedure</w:t>
      </w:r>
    </w:p>
    <w:p w14:paraId="47860FF5" w14:textId="390D0C0E" w:rsidR="005436D9" w:rsidRPr="00EB42FD" w:rsidRDefault="005436D9" w:rsidP="005436D9">
      <w:pPr>
        <w:rPr>
          <w:lang w:eastAsia="zh-CN"/>
        </w:rPr>
      </w:pPr>
      <w:r w:rsidRPr="007C054E">
        <w:rPr>
          <w:rFonts w:eastAsiaTheme="minorEastAsia"/>
          <w:b/>
          <w:lang w:eastAsia="zh-CN"/>
        </w:rPr>
        <w:t>Observation</w:t>
      </w:r>
      <w:r>
        <w:rPr>
          <w:rFonts w:eastAsiaTheme="minorEastAsia"/>
          <w:b/>
          <w:lang w:eastAsia="zh-CN"/>
        </w:rPr>
        <w:t>#3</w:t>
      </w:r>
      <w:r w:rsidRPr="007C054E">
        <w:rPr>
          <w:rFonts w:eastAsiaTheme="minorEastAsia"/>
          <w:b/>
          <w:lang w:eastAsia="zh-CN"/>
        </w:rPr>
        <w:t>:</w:t>
      </w:r>
      <w:r>
        <w:rPr>
          <w:rFonts w:eastAsiaTheme="minorEastAsia"/>
          <w:lang w:eastAsia="zh-CN"/>
        </w:rPr>
        <w:t xml:space="preserve"> </w:t>
      </w:r>
      <w:r w:rsidRPr="001D15C4">
        <w:rPr>
          <w:rFonts w:eastAsiaTheme="minorEastAsia"/>
          <w:b/>
          <w:lang w:eastAsia="zh-CN"/>
        </w:rPr>
        <w:t>Regardless of whether Direction A) and/or B) is applied in Step 3.</w:t>
      </w:r>
      <w:r w:rsidRPr="001D15C4">
        <w:rPr>
          <w:b/>
        </w:rPr>
        <w:t xml:space="preserve"> </w:t>
      </w:r>
      <w:r w:rsidRPr="001D15C4">
        <w:rPr>
          <w:rFonts w:eastAsiaTheme="minorEastAsia"/>
          <w:b/>
          <w:lang w:eastAsia="zh-CN"/>
        </w:rPr>
        <w:t>UAI and RRCReconfigurationComplete messages can be used to report applicable functionality and RAN2 aim to align the design on how the applicable functionality are signaled in both messages.</w:t>
      </w:r>
    </w:p>
    <w:p w14:paraId="45B58B79" w14:textId="77777777" w:rsidR="006C6630" w:rsidRDefault="006C6630" w:rsidP="006C6630">
      <w:pPr>
        <w:rPr>
          <w:b/>
          <w:lang w:eastAsia="zh-CN"/>
        </w:rPr>
      </w:pPr>
      <w:r w:rsidRPr="00D77091">
        <w:rPr>
          <w:b/>
          <w:lang w:eastAsia="zh-CN"/>
        </w:rPr>
        <w:t xml:space="preserve">Proposal </w:t>
      </w:r>
      <w:r>
        <w:rPr>
          <w:b/>
          <w:lang w:eastAsia="zh-CN"/>
        </w:rPr>
        <w:t>3</w:t>
      </w:r>
      <w:r w:rsidRPr="00D77091">
        <w:rPr>
          <w:b/>
          <w:lang w:eastAsia="zh-CN"/>
        </w:rPr>
        <w:t xml:space="preserve">: </w:t>
      </w:r>
      <w:r w:rsidRPr="002D4B68">
        <w:rPr>
          <w:b/>
          <w:lang w:eastAsia="zh-CN"/>
        </w:rPr>
        <w:t xml:space="preserve">To align the design on how the applicable functionality are signaled in both UAI and RRC Reconfiguration Complete message, the </w:t>
      </w:r>
      <w:r>
        <w:rPr>
          <w:b/>
          <w:lang w:eastAsia="zh-CN"/>
        </w:rPr>
        <w:t>UAI message containing the applicable reporting can be carried as container</w:t>
      </w:r>
      <w:r w:rsidRPr="002D4B68">
        <w:rPr>
          <w:b/>
          <w:lang w:eastAsia="zh-CN"/>
        </w:rPr>
        <w:t xml:space="preserve"> in RRC Reconfiguration Complete</w:t>
      </w:r>
      <w:r>
        <w:rPr>
          <w:b/>
          <w:lang w:eastAsia="zh-CN"/>
        </w:rPr>
        <w:t>.</w:t>
      </w:r>
    </w:p>
    <w:p w14:paraId="1708DE0B" w14:textId="60B47BC5" w:rsidR="00E36D39" w:rsidRDefault="006C6630" w:rsidP="006C6630">
      <w:pPr>
        <w:rPr>
          <w:b/>
          <w:bCs/>
          <w:lang w:eastAsia="zh-CN"/>
        </w:rPr>
      </w:pPr>
      <w:r>
        <w:rPr>
          <w:b/>
          <w:lang w:eastAsia="zh-CN"/>
        </w:rPr>
        <w:t>Proposal 4: T</w:t>
      </w:r>
      <w:r w:rsidRPr="002D4B68">
        <w:rPr>
          <w:b/>
          <w:lang w:eastAsia="zh-CN"/>
        </w:rPr>
        <w:t>he applicability report</w:t>
      </w:r>
      <w:r>
        <w:rPr>
          <w:b/>
          <w:lang w:eastAsia="zh-CN"/>
        </w:rPr>
        <w:t>ing in the UAI message</w:t>
      </w:r>
      <w:r w:rsidRPr="002D4B68">
        <w:rPr>
          <w:b/>
          <w:lang w:eastAsia="zh-CN"/>
        </w:rPr>
        <w:t xml:space="preserve"> may indicate either a certain CSI config</w:t>
      </w:r>
      <w:r>
        <w:rPr>
          <w:b/>
          <w:lang w:eastAsia="zh-CN"/>
        </w:rPr>
        <w:t xml:space="preserve"> (for Direction A)</w:t>
      </w:r>
      <w:r w:rsidRPr="002D4B68">
        <w:rPr>
          <w:b/>
          <w:lang w:eastAsia="zh-CN"/>
        </w:rPr>
        <w:t xml:space="preserve"> </w:t>
      </w:r>
      <w:r>
        <w:rPr>
          <w:b/>
          <w:lang w:eastAsia="zh-CN"/>
        </w:rPr>
        <w:t>and/</w:t>
      </w:r>
      <w:r w:rsidRPr="002D4B68">
        <w:rPr>
          <w:b/>
          <w:lang w:eastAsia="zh-CN"/>
        </w:rPr>
        <w:t xml:space="preserve">or some set of </w:t>
      </w:r>
      <w:r>
        <w:rPr>
          <w:b/>
          <w:lang w:eastAsia="zh-CN"/>
        </w:rPr>
        <w:t>parameters</w:t>
      </w:r>
      <w:r w:rsidRPr="002D4B68">
        <w:rPr>
          <w:b/>
          <w:lang w:eastAsia="zh-CN"/>
        </w:rPr>
        <w:t xml:space="preserve"> (</w:t>
      </w:r>
      <w:r>
        <w:rPr>
          <w:b/>
          <w:lang w:eastAsia="zh-CN"/>
        </w:rPr>
        <w:t>for Direction</w:t>
      </w:r>
      <w:r w:rsidRPr="002D4B68">
        <w:rPr>
          <w:b/>
          <w:lang w:eastAsia="zh-CN"/>
        </w:rPr>
        <w:t xml:space="preserve"> B)) as applicable (e.g. using a bitmap, or set of indexes etc. which </w:t>
      </w:r>
      <w:r>
        <w:rPr>
          <w:b/>
          <w:lang w:eastAsia="zh-CN"/>
        </w:rPr>
        <w:t>can be further discussed in</w:t>
      </w:r>
      <w:r w:rsidRPr="002D4B68">
        <w:rPr>
          <w:b/>
          <w:lang w:eastAsia="zh-CN"/>
        </w:rPr>
        <w:t xml:space="preserve"> a stage-3 </w:t>
      </w:r>
      <w:r>
        <w:rPr>
          <w:b/>
          <w:lang w:eastAsia="zh-CN"/>
        </w:rPr>
        <w:t>design)</w:t>
      </w:r>
    </w:p>
    <w:p w14:paraId="7ADDA8B5" w14:textId="1DF3E3EB" w:rsidR="001E3751" w:rsidRPr="00E36D39" w:rsidRDefault="005436D9" w:rsidP="00100AF2">
      <w:pPr>
        <w:rPr>
          <w:b/>
          <w:bCs/>
          <w:lang w:eastAsia="zh-CN"/>
        </w:rPr>
      </w:pPr>
      <w:r w:rsidRPr="0086314E">
        <w:rPr>
          <w:rFonts w:hint="eastAsia"/>
          <w:b/>
          <w:bCs/>
          <w:lang w:eastAsia="zh-CN"/>
        </w:rPr>
        <w:t>P</w:t>
      </w:r>
      <w:r w:rsidRPr="0086314E">
        <w:rPr>
          <w:b/>
          <w:bCs/>
          <w:lang w:eastAsia="zh-CN"/>
        </w:rPr>
        <w:t xml:space="preserve">roposal </w:t>
      </w:r>
      <w:r w:rsidR="006C6630">
        <w:rPr>
          <w:b/>
          <w:bCs/>
          <w:lang w:eastAsia="zh-CN"/>
        </w:rPr>
        <w:t>5</w:t>
      </w:r>
      <w:r w:rsidRPr="0086314E">
        <w:rPr>
          <w:b/>
          <w:bCs/>
          <w:lang w:eastAsia="zh-CN"/>
        </w:rPr>
        <w:t>: if</w:t>
      </w:r>
      <w:r>
        <w:rPr>
          <w:b/>
          <w:bCs/>
          <w:lang w:eastAsia="zh-CN"/>
        </w:rPr>
        <w:t xml:space="preserve"> Direction A (</w:t>
      </w:r>
      <w:r w:rsidR="00E36D39">
        <w:rPr>
          <w:b/>
          <w:bCs/>
          <w:lang w:eastAsia="zh-CN"/>
        </w:rPr>
        <w:t>i.e.,</w:t>
      </w:r>
      <w:r w:rsidRPr="0086314E">
        <w:rPr>
          <w:b/>
          <w:bCs/>
          <w:lang w:eastAsia="zh-CN"/>
        </w:rPr>
        <w:t xml:space="preserve"> </w:t>
      </w:r>
      <w:r w:rsidRPr="00921814">
        <w:rPr>
          <w:b/>
          <w:bCs/>
          <w:i/>
          <w:iCs/>
          <w:lang w:eastAsia="zh-CN"/>
        </w:rPr>
        <w:t>CSI-ReportConfig</w:t>
      </w:r>
      <w:r w:rsidRPr="0086314E">
        <w:rPr>
          <w:b/>
          <w:bCs/>
          <w:lang w:eastAsia="zh-CN"/>
        </w:rPr>
        <w:t xml:space="preserve"> is provided</w:t>
      </w:r>
      <w:r>
        <w:rPr>
          <w:b/>
          <w:bCs/>
          <w:lang w:eastAsia="zh-CN"/>
        </w:rPr>
        <w:t>)</w:t>
      </w:r>
      <w:r w:rsidRPr="0086314E">
        <w:rPr>
          <w:b/>
          <w:bCs/>
          <w:lang w:eastAsia="zh-CN"/>
        </w:rPr>
        <w:t xml:space="preserve"> in step3, </w:t>
      </w:r>
      <w:r w:rsidRPr="00921814">
        <w:rPr>
          <w:b/>
          <w:bCs/>
          <w:lang w:eastAsia="zh-CN"/>
        </w:rPr>
        <w:t xml:space="preserve">UE </w:t>
      </w:r>
      <w:r>
        <w:rPr>
          <w:b/>
          <w:bCs/>
          <w:lang w:eastAsia="zh-CN"/>
        </w:rPr>
        <w:t>doesn’t</w:t>
      </w:r>
      <w:r w:rsidRPr="00921814">
        <w:rPr>
          <w:b/>
          <w:bCs/>
          <w:lang w:eastAsia="zh-CN"/>
        </w:rPr>
        <w:t xml:space="preserve"> autonomously release those CSI report configurations that are </w:t>
      </w:r>
      <w:r>
        <w:rPr>
          <w:b/>
          <w:bCs/>
          <w:lang w:eastAsia="zh-CN"/>
        </w:rPr>
        <w:t>non-</w:t>
      </w:r>
      <w:r w:rsidRPr="00921814">
        <w:rPr>
          <w:b/>
          <w:bCs/>
          <w:lang w:eastAsia="zh-CN"/>
        </w:rPr>
        <w:t xml:space="preserve">applicable after </w:t>
      </w:r>
      <w:r>
        <w:rPr>
          <w:b/>
          <w:bCs/>
          <w:lang w:eastAsia="zh-CN"/>
        </w:rPr>
        <w:t>S</w:t>
      </w:r>
      <w:r w:rsidRPr="00921814">
        <w:rPr>
          <w:b/>
          <w:bCs/>
          <w:lang w:eastAsia="zh-CN"/>
        </w:rPr>
        <w:t xml:space="preserve">tep4 </w:t>
      </w:r>
      <w:r>
        <w:rPr>
          <w:b/>
          <w:bCs/>
          <w:lang w:eastAsia="zh-CN"/>
        </w:rPr>
        <w:t>but leave them to</w:t>
      </w:r>
      <w:r w:rsidRPr="00921814">
        <w:rPr>
          <w:b/>
          <w:bCs/>
          <w:lang w:eastAsia="zh-CN"/>
        </w:rPr>
        <w:t xml:space="preserve"> </w:t>
      </w:r>
      <w:proofErr w:type="spellStart"/>
      <w:r>
        <w:rPr>
          <w:b/>
          <w:bCs/>
          <w:lang w:eastAsia="zh-CN"/>
        </w:rPr>
        <w:t>gNB</w:t>
      </w:r>
      <w:proofErr w:type="spellEnd"/>
      <w:r>
        <w:rPr>
          <w:b/>
          <w:bCs/>
          <w:lang w:eastAsia="zh-CN"/>
        </w:rPr>
        <w:t xml:space="preserve"> to decide whether to</w:t>
      </w:r>
      <w:r w:rsidRPr="0086314E">
        <w:rPr>
          <w:b/>
          <w:bCs/>
          <w:lang w:eastAsia="zh-CN"/>
        </w:rPr>
        <w:t xml:space="preserve"> de-configure the non-applicable </w:t>
      </w:r>
      <w:r w:rsidRPr="00632FC9">
        <w:rPr>
          <w:b/>
          <w:bCs/>
          <w:i/>
          <w:iCs/>
          <w:lang w:eastAsia="zh-CN"/>
        </w:rPr>
        <w:t>CSI-ReportConfig</w:t>
      </w:r>
      <w:r w:rsidRPr="0086314E">
        <w:rPr>
          <w:b/>
          <w:bCs/>
          <w:lang w:eastAsia="zh-CN"/>
        </w:rPr>
        <w:t xml:space="preserve"> </w:t>
      </w:r>
      <w:r>
        <w:rPr>
          <w:b/>
          <w:bCs/>
          <w:lang w:eastAsia="zh-CN"/>
        </w:rPr>
        <w:t>at</w:t>
      </w:r>
      <w:r w:rsidRPr="0086314E">
        <w:rPr>
          <w:b/>
          <w:bCs/>
          <w:lang w:eastAsia="zh-CN"/>
        </w:rPr>
        <w:t xml:space="preserve"> </w:t>
      </w:r>
      <w:r>
        <w:rPr>
          <w:b/>
          <w:bCs/>
          <w:lang w:eastAsia="zh-CN"/>
        </w:rPr>
        <w:t>S</w:t>
      </w:r>
      <w:r w:rsidRPr="0086314E">
        <w:rPr>
          <w:b/>
          <w:bCs/>
          <w:lang w:eastAsia="zh-CN"/>
        </w:rPr>
        <w:t>tep5</w:t>
      </w:r>
      <w:r>
        <w:rPr>
          <w:b/>
          <w:bCs/>
          <w:lang w:eastAsia="zh-CN"/>
        </w:rPr>
        <w:t xml:space="preserve"> (e.g. for periodic CSI Report configurations) or keep the configurations (in the case of aperiodic or semi-persistent CSI Report configurations).</w:t>
      </w:r>
    </w:p>
    <w:p w14:paraId="489D7BD0" w14:textId="7D1DE713" w:rsidR="00100AF2" w:rsidRDefault="00311F05" w:rsidP="001D2742">
      <w:pPr>
        <w:rPr>
          <w:color w:val="000000" w:themeColor="text1"/>
          <w:kern w:val="2"/>
          <w:u w:val="single"/>
          <w:lang w:val="en-GB" w:eastAsia="zh-CN"/>
        </w:rPr>
      </w:pPr>
      <w:r w:rsidRPr="00311F05">
        <w:rPr>
          <w:color w:val="000000" w:themeColor="text1"/>
          <w:kern w:val="2"/>
          <w:u w:val="single"/>
          <w:lang w:val="en-GB" w:eastAsia="zh-CN"/>
        </w:rPr>
        <w:t>Applicability status changes</w:t>
      </w:r>
    </w:p>
    <w:p w14:paraId="1542862C" w14:textId="307B6478" w:rsidR="005436D9" w:rsidRDefault="005436D9" w:rsidP="005436D9">
      <w:pPr>
        <w:rPr>
          <w:b/>
          <w:lang w:eastAsia="en-GB"/>
        </w:rPr>
      </w:pPr>
      <w:r>
        <w:rPr>
          <w:b/>
          <w:lang w:eastAsia="en-GB"/>
        </w:rPr>
        <w:t xml:space="preserve">Proposal </w:t>
      </w:r>
      <w:r w:rsidR="006C6630">
        <w:rPr>
          <w:b/>
          <w:lang w:eastAsia="en-GB"/>
        </w:rPr>
        <w:t>6</w:t>
      </w:r>
      <w:r>
        <w:rPr>
          <w:b/>
          <w:lang w:eastAsia="en-GB"/>
        </w:rPr>
        <w:t>a: W</w:t>
      </w:r>
      <w:r w:rsidRPr="00F304C9">
        <w:rPr>
          <w:b/>
          <w:lang w:eastAsia="en-GB"/>
        </w:rPr>
        <w:t xml:space="preserve">hen the </w:t>
      </w:r>
      <w:r>
        <w:rPr>
          <w:b/>
          <w:lang w:eastAsia="en-GB"/>
        </w:rPr>
        <w:t xml:space="preserve">status of the </w:t>
      </w:r>
      <w:r w:rsidRPr="00F304C9">
        <w:rPr>
          <w:b/>
          <w:lang w:eastAsia="en-GB"/>
        </w:rPr>
        <w:t xml:space="preserve">functionality </w:t>
      </w:r>
      <w:r>
        <w:rPr>
          <w:b/>
          <w:lang w:eastAsia="en-GB"/>
        </w:rPr>
        <w:t xml:space="preserve">which </w:t>
      </w:r>
      <w:r w:rsidRPr="00F304C9">
        <w:rPr>
          <w:b/>
          <w:lang w:eastAsia="en-GB"/>
        </w:rPr>
        <w:t xml:space="preserve">has been previously </w:t>
      </w:r>
      <w:r>
        <w:rPr>
          <w:b/>
          <w:lang w:eastAsia="en-GB"/>
        </w:rPr>
        <w:t xml:space="preserve">requested by the network changes from </w:t>
      </w:r>
      <w:r w:rsidRPr="00F304C9">
        <w:rPr>
          <w:b/>
          <w:lang w:eastAsia="en-GB"/>
        </w:rPr>
        <w:t xml:space="preserve">applicable </w:t>
      </w:r>
      <w:r>
        <w:rPr>
          <w:b/>
          <w:lang w:eastAsia="en-GB"/>
        </w:rPr>
        <w:t>to</w:t>
      </w:r>
      <w:r w:rsidRPr="00F304C9">
        <w:rPr>
          <w:b/>
          <w:lang w:eastAsia="en-GB"/>
        </w:rPr>
        <w:t xml:space="preserve"> non-applicable </w:t>
      </w:r>
      <w:r>
        <w:rPr>
          <w:b/>
          <w:lang w:eastAsia="en-GB"/>
        </w:rPr>
        <w:t>or vice-versa</w:t>
      </w:r>
      <w:r w:rsidRPr="00F304C9">
        <w:rPr>
          <w:b/>
          <w:lang w:eastAsia="en-GB"/>
        </w:rPr>
        <w:t xml:space="preserve">, </w:t>
      </w:r>
      <w:r>
        <w:rPr>
          <w:b/>
          <w:lang w:eastAsia="en-GB"/>
        </w:rPr>
        <w:t xml:space="preserve">UE </w:t>
      </w:r>
      <w:r w:rsidR="00E36D39">
        <w:rPr>
          <w:b/>
          <w:lang w:eastAsia="en-GB"/>
        </w:rPr>
        <w:t>shall report</w:t>
      </w:r>
      <w:r>
        <w:rPr>
          <w:b/>
          <w:lang w:eastAsia="en-GB"/>
        </w:rPr>
        <w:t xml:space="preserve"> the status change information to network.</w:t>
      </w:r>
    </w:p>
    <w:p w14:paraId="0083FF4A" w14:textId="08CA2EFB" w:rsidR="001E3751" w:rsidRDefault="005436D9" w:rsidP="001E3751">
      <w:pPr>
        <w:rPr>
          <w:b/>
        </w:rPr>
      </w:pPr>
      <w:r w:rsidRPr="005E1FFD">
        <w:rPr>
          <w:b/>
        </w:rPr>
        <w:t>Proposal</w:t>
      </w:r>
      <w:r>
        <w:rPr>
          <w:b/>
        </w:rPr>
        <w:t xml:space="preserve"> </w:t>
      </w:r>
      <w:r w:rsidR="006C6630">
        <w:rPr>
          <w:b/>
        </w:rPr>
        <w:t>6</w:t>
      </w:r>
      <w:r>
        <w:rPr>
          <w:b/>
        </w:rPr>
        <w:t>b</w:t>
      </w:r>
      <w:r w:rsidRPr="005E1FFD">
        <w:rPr>
          <w:b/>
        </w:rPr>
        <w:t xml:space="preserve">: UE always reports only applicable functionalities in the applicable functionality reporting, regardless of whether it is reported </w:t>
      </w:r>
      <w:r>
        <w:rPr>
          <w:b/>
        </w:rPr>
        <w:t xml:space="preserve">for the </w:t>
      </w:r>
      <w:r w:rsidRPr="005E1FFD">
        <w:rPr>
          <w:b/>
        </w:rPr>
        <w:t xml:space="preserve">first time or </w:t>
      </w:r>
      <w:r>
        <w:rPr>
          <w:b/>
        </w:rPr>
        <w:t xml:space="preserve">reported upon </w:t>
      </w:r>
      <w:r w:rsidRPr="005E1FFD">
        <w:rPr>
          <w:b/>
        </w:rPr>
        <w:t>a status change</w:t>
      </w:r>
      <w:r>
        <w:rPr>
          <w:b/>
        </w:rPr>
        <w:t>.</w:t>
      </w:r>
      <w:r w:rsidRPr="005E1FFD">
        <w:rPr>
          <w:b/>
        </w:rPr>
        <w:t xml:space="preserve">  </w:t>
      </w:r>
    </w:p>
    <w:p w14:paraId="71CA3802" w14:textId="57D16F50" w:rsidR="005436D9" w:rsidRPr="005A0BC9" w:rsidRDefault="005436D9" w:rsidP="005436D9">
      <w:pPr>
        <w:overflowPunct w:val="0"/>
        <w:spacing w:before="120"/>
        <w:textAlignment w:val="baseline"/>
        <w:rPr>
          <w:b/>
          <w:lang w:eastAsia="zh-CN"/>
        </w:rPr>
      </w:pPr>
      <w:r w:rsidRPr="005A0BC9">
        <w:rPr>
          <w:b/>
          <w:lang w:eastAsia="zh-CN"/>
        </w:rPr>
        <w:t>Observation</w:t>
      </w:r>
      <w:r>
        <w:rPr>
          <w:b/>
          <w:lang w:eastAsia="zh-CN"/>
        </w:rPr>
        <w:t xml:space="preserve"> 4</w:t>
      </w:r>
      <w:r w:rsidRPr="005A0BC9">
        <w:rPr>
          <w:b/>
          <w:lang w:eastAsia="zh-CN"/>
        </w:rPr>
        <w:t>: Changes among different functionality statuses have an impact on functionality management. Frequent changes may result in frequent activation/</w:t>
      </w:r>
      <w:r>
        <w:rPr>
          <w:b/>
          <w:lang w:eastAsia="zh-CN"/>
        </w:rPr>
        <w:t>de</w:t>
      </w:r>
      <w:r w:rsidRPr="005A0BC9">
        <w:rPr>
          <w:b/>
          <w:lang w:eastAsia="zh-CN"/>
        </w:rPr>
        <w:t xml:space="preserve">activation or may require more </w:t>
      </w:r>
      <w:r>
        <w:rPr>
          <w:b/>
          <w:lang w:eastAsia="zh-CN"/>
        </w:rPr>
        <w:t xml:space="preserve">resources for performance </w:t>
      </w:r>
      <w:r w:rsidRPr="005A0BC9">
        <w:rPr>
          <w:b/>
          <w:lang w:eastAsia="zh-CN"/>
        </w:rPr>
        <w:t>monitoring, which will introduce signaling/resource overhead.</w:t>
      </w:r>
    </w:p>
    <w:p w14:paraId="5103EBE2" w14:textId="0F92BB49" w:rsidR="005436D9" w:rsidRPr="005A0BC9" w:rsidRDefault="005436D9" w:rsidP="005436D9">
      <w:pPr>
        <w:overflowPunct w:val="0"/>
        <w:spacing w:before="120"/>
        <w:textAlignment w:val="baseline"/>
        <w:rPr>
          <w:b/>
          <w:lang w:eastAsia="zh-CN"/>
        </w:rPr>
      </w:pPr>
      <w:bookmarkStart w:id="4" w:name="_GoBack"/>
      <w:bookmarkEnd w:id="4"/>
      <w:r w:rsidRPr="005A0BC9">
        <w:rPr>
          <w:b/>
          <w:lang w:eastAsia="zh-CN"/>
        </w:rPr>
        <w:t>Observation</w:t>
      </w:r>
      <w:r>
        <w:rPr>
          <w:b/>
          <w:lang w:eastAsia="zh-CN"/>
        </w:rPr>
        <w:t xml:space="preserve"> 5</w:t>
      </w:r>
      <w:r w:rsidRPr="005A0BC9">
        <w:rPr>
          <w:b/>
          <w:lang w:eastAsia="zh-CN"/>
        </w:rPr>
        <w:t xml:space="preserve">: </w:t>
      </w:r>
      <w:r>
        <w:rPr>
          <w:b/>
          <w:lang w:eastAsia="zh-CN"/>
        </w:rPr>
        <w:t xml:space="preserve">Frequent functionality applicability changes/updates may have a detrimental impact on the signaling overhead, system performance and complicate AIML functionality management by the network. </w:t>
      </w:r>
    </w:p>
    <w:p w14:paraId="11117FF6" w14:textId="4F790F6D" w:rsidR="00E36D39" w:rsidRDefault="00E36D39" w:rsidP="00E36D39">
      <w:pPr>
        <w:overflowPunct w:val="0"/>
        <w:spacing w:before="120"/>
        <w:textAlignment w:val="baseline"/>
        <w:rPr>
          <w:b/>
          <w:lang w:eastAsia="zh-CN"/>
        </w:rPr>
      </w:pPr>
      <w:r w:rsidRPr="005A0BC9">
        <w:rPr>
          <w:b/>
          <w:lang w:eastAsia="zh-CN"/>
        </w:rPr>
        <w:t>Proposal</w:t>
      </w:r>
      <w:r>
        <w:rPr>
          <w:b/>
          <w:lang w:eastAsia="zh-CN"/>
        </w:rPr>
        <w:t xml:space="preserve"> </w:t>
      </w:r>
      <w:r w:rsidR="006C6630">
        <w:rPr>
          <w:b/>
          <w:lang w:eastAsia="zh-CN"/>
        </w:rPr>
        <w:t>7</w:t>
      </w:r>
      <w:r w:rsidRPr="005A0BC9">
        <w:rPr>
          <w:b/>
          <w:lang w:eastAsia="zh-CN"/>
        </w:rPr>
        <w:t xml:space="preserve">: </w:t>
      </w:r>
      <w:r>
        <w:rPr>
          <w:b/>
          <w:lang w:eastAsia="zh-CN"/>
        </w:rPr>
        <w:t xml:space="preserve">RAN2 should investigate the means to avoid the need of frequent applicability status updates and ensure the stability of inference operation once it is activated (e.g., UE can provide some kind of “stability of applicability” indication for each applicable functionality etc.). </w:t>
      </w:r>
    </w:p>
    <w:p w14:paraId="5FC3E94A" w14:textId="4044C795" w:rsidR="00E36D39" w:rsidRPr="00FC15F3" w:rsidRDefault="00E36D39" w:rsidP="00E36D39">
      <w:pPr>
        <w:overflowPunct w:val="0"/>
        <w:spacing w:before="120"/>
        <w:textAlignment w:val="baseline"/>
        <w:rPr>
          <w:b/>
          <w:lang w:eastAsia="zh-CN"/>
        </w:rPr>
      </w:pPr>
      <w:r w:rsidRPr="00FC15F3">
        <w:rPr>
          <w:b/>
          <w:lang w:eastAsia="zh-CN"/>
        </w:rPr>
        <w:t xml:space="preserve">Observation </w:t>
      </w:r>
      <w:r>
        <w:rPr>
          <w:b/>
          <w:lang w:eastAsia="zh-CN"/>
        </w:rPr>
        <w:t>6</w:t>
      </w:r>
      <w:r w:rsidRPr="00FC15F3">
        <w:rPr>
          <w:b/>
          <w:lang w:eastAsia="zh-CN"/>
        </w:rPr>
        <w:t>:</w:t>
      </w:r>
      <w:r>
        <w:rPr>
          <w:b/>
          <w:lang w:eastAsia="zh-CN"/>
        </w:rPr>
        <w:t xml:space="preserve"> The prohibit timer can be applied to avoid the frequent report for the applicability update of functionalities. However, if the UE cannot report </w:t>
      </w:r>
      <w:r w:rsidRPr="00FC15F3">
        <w:rPr>
          <w:b/>
          <w:lang w:eastAsia="zh-CN"/>
        </w:rPr>
        <w:t xml:space="preserve">the “applicable to non-applicable” update timely, the NW may configure a non-applicable functionality for inference. </w:t>
      </w:r>
      <w:r>
        <w:rPr>
          <w:b/>
          <w:lang w:eastAsia="zh-CN"/>
        </w:rPr>
        <w:t xml:space="preserve"> If the UE cannot report </w:t>
      </w:r>
      <w:r w:rsidRPr="00FC15F3">
        <w:rPr>
          <w:b/>
          <w:lang w:eastAsia="zh-CN"/>
        </w:rPr>
        <w:t>the “</w:t>
      </w:r>
      <w:r>
        <w:rPr>
          <w:b/>
          <w:lang w:eastAsia="zh-CN"/>
        </w:rPr>
        <w:t xml:space="preserve">non-applicable to </w:t>
      </w:r>
      <w:r w:rsidRPr="00FC15F3">
        <w:rPr>
          <w:b/>
          <w:lang w:eastAsia="zh-CN"/>
        </w:rPr>
        <w:t>applicable” update timely, the NW</w:t>
      </w:r>
      <w:r>
        <w:rPr>
          <w:b/>
          <w:lang w:eastAsia="zh-CN"/>
        </w:rPr>
        <w:t xml:space="preserve"> cannot </w:t>
      </w:r>
      <w:r w:rsidRPr="00FC15F3">
        <w:rPr>
          <w:b/>
          <w:lang w:eastAsia="zh-CN"/>
        </w:rPr>
        <w:t>configure the functionality for inference immediately</w:t>
      </w:r>
      <w:r>
        <w:rPr>
          <w:b/>
          <w:lang w:eastAsia="zh-CN"/>
        </w:rPr>
        <w:t xml:space="preserve"> when</w:t>
      </w:r>
      <w:r w:rsidRPr="00FC15F3">
        <w:rPr>
          <w:b/>
          <w:lang w:eastAsia="zh-CN"/>
        </w:rPr>
        <w:t xml:space="preserve"> the NW is i</w:t>
      </w:r>
      <w:r>
        <w:rPr>
          <w:b/>
          <w:lang w:eastAsia="zh-CN"/>
        </w:rPr>
        <w:t>nterested in this functionality</w:t>
      </w:r>
      <w:r w:rsidRPr="00FC15F3">
        <w:rPr>
          <w:b/>
          <w:lang w:eastAsia="zh-CN"/>
        </w:rPr>
        <w:t>.</w:t>
      </w:r>
    </w:p>
    <w:p w14:paraId="79D9B650" w14:textId="7251A3EF" w:rsidR="00E36D39" w:rsidRPr="00325571" w:rsidRDefault="00E36D39" w:rsidP="00E36D39">
      <w:pPr>
        <w:overflowPunct w:val="0"/>
        <w:spacing w:before="120"/>
        <w:textAlignment w:val="baseline"/>
        <w:rPr>
          <w:b/>
          <w:lang w:eastAsia="zh-CN"/>
        </w:rPr>
      </w:pPr>
      <w:r w:rsidRPr="00325571">
        <w:rPr>
          <w:b/>
          <w:lang w:eastAsia="zh-CN"/>
        </w:rPr>
        <w:t xml:space="preserve">Proposal </w:t>
      </w:r>
      <w:r w:rsidR="006C6630">
        <w:rPr>
          <w:b/>
          <w:lang w:eastAsia="zh-CN"/>
        </w:rPr>
        <w:t>8</w:t>
      </w:r>
      <w:r w:rsidRPr="00325571">
        <w:rPr>
          <w:rFonts w:hint="eastAsia"/>
          <w:b/>
          <w:lang w:eastAsia="zh-CN"/>
        </w:rPr>
        <w:t>:</w:t>
      </w:r>
      <w:r w:rsidRPr="00325571">
        <w:rPr>
          <w:b/>
          <w:lang w:eastAsia="zh-CN"/>
        </w:rPr>
        <w:t xml:space="preserve"> </w:t>
      </w:r>
      <w:r>
        <w:rPr>
          <w:b/>
          <w:lang w:eastAsia="zh-CN"/>
        </w:rPr>
        <w:t>T</w:t>
      </w:r>
      <w:r w:rsidRPr="00FC15F3">
        <w:rPr>
          <w:b/>
          <w:lang w:eastAsia="zh-CN"/>
        </w:rPr>
        <w:t xml:space="preserve">he NW can configure </w:t>
      </w:r>
      <w:r>
        <w:rPr>
          <w:b/>
          <w:lang w:eastAsia="zh-CN"/>
        </w:rPr>
        <w:t>different</w:t>
      </w:r>
      <w:r w:rsidRPr="00FC15F3">
        <w:rPr>
          <w:b/>
          <w:lang w:eastAsia="zh-CN"/>
        </w:rPr>
        <w:t xml:space="preserve"> value</w:t>
      </w:r>
      <w:r>
        <w:rPr>
          <w:b/>
          <w:lang w:eastAsia="zh-CN"/>
        </w:rPr>
        <w:t>s</w:t>
      </w:r>
      <w:r w:rsidRPr="00FC15F3">
        <w:rPr>
          <w:b/>
          <w:lang w:eastAsia="zh-CN"/>
        </w:rPr>
        <w:t xml:space="preserve"> of the prohibit timer for “applicable to non-applicable” update </w:t>
      </w:r>
      <w:r>
        <w:rPr>
          <w:b/>
          <w:lang w:eastAsia="zh-CN"/>
        </w:rPr>
        <w:t xml:space="preserve">and </w:t>
      </w:r>
      <w:r w:rsidRPr="00FC15F3">
        <w:rPr>
          <w:b/>
          <w:lang w:eastAsia="zh-CN"/>
        </w:rPr>
        <w:t>“non-applicable to applicable” update</w:t>
      </w:r>
      <w:r>
        <w:rPr>
          <w:b/>
          <w:lang w:eastAsia="zh-CN"/>
        </w:rPr>
        <w:t xml:space="preserve"> to be applied for functionalities that are not currently configured for inference operation</w:t>
      </w:r>
      <w:r w:rsidRPr="00FC15F3">
        <w:rPr>
          <w:b/>
          <w:lang w:eastAsia="zh-CN"/>
        </w:rPr>
        <w:t>.</w:t>
      </w:r>
      <w:r>
        <w:rPr>
          <w:b/>
          <w:lang w:eastAsia="zh-CN"/>
        </w:rPr>
        <w:t xml:space="preserve"> If a functionality that is currently configured for inference operation becomes non-applicable, the UE should immediately report the status change.</w:t>
      </w:r>
    </w:p>
    <w:p w14:paraId="70082870" w14:textId="079CA446" w:rsidR="00311F05" w:rsidRDefault="00311F05" w:rsidP="00311F05">
      <w:pPr>
        <w:rPr>
          <w:color w:val="000000" w:themeColor="text1"/>
          <w:kern w:val="2"/>
          <w:u w:val="single"/>
          <w:lang w:val="en-GB" w:eastAsia="zh-CN"/>
        </w:rPr>
      </w:pPr>
      <w:r w:rsidRPr="00311F05">
        <w:rPr>
          <w:color w:val="000000" w:themeColor="text1"/>
          <w:kern w:val="2"/>
          <w:u w:val="single"/>
          <w:lang w:val="en-GB" w:eastAsia="zh-CN"/>
        </w:rPr>
        <w:t>Performance monitoring</w:t>
      </w:r>
    </w:p>
    <w:p w14:paraId="1F56B9F8" w14:textId="410AF1C6" w:rsidR="001E3751" w:rsidRPr="005436D9" w:rsidRDefault="001E3751" w:rsidP="005436D9">
      <w:pPr>
        <w:pStyle w:val="CommentText"/>
        <w:rPr>
          <w:b/>
          <w:bCs/>
        </w:rPr>
      </w:pPr>
      <w:r w:rsidRPr="00673C3C">
        <w:rPr>
          <w:b/>
          <w:bCs/>
        </w:rPr>
        <w:lastRenderedPageBreak/>
        <w:t xml:space="preserve">Proposal </w:t>
      </w:r>
      <w:r w:rsidR="006C6630">
        <w:rPr>
          <w:b/>
          <w:bCs/>
        </w:rPr>
        <w:t>9</w:t>
      </w:r>
      <w:r w:rsidRPr="00673C3C">
        <w:rPr>
          <w:b/>
          <w:bCs/>
        </w:rPr>
        <w:t xml:space="preserve">: For monitoring Type 1 Option 2 of UE-side model monitoring, there is no RAN2 impact currently based on RAN1 progress so far other than possible ASN.1 impact. </w:t>
      </w:r>
    </w:p>
    <w:bookmarkEnd w:id="2"/>
    <w:p w14:paraId="6B40B09D" w14:textId="10D22EA9" w:rsidR="004A4746" w:rsidRPr="004A4746" w:rsidRDefault="004A4746" w:rsidP="004A4746">
      <w:pPr>
        <w:pStyle w:val="Heading1"/>
        <w:keepLines/>
        <w:numPr>
          <w:ilvl w:val="0"/>
          <w:numId w:val="2"/>
        </w:numPr>
        <w:pBdr>
          <w:top w:val="single" w:sz="12" w:space="3" w:color="auto"/>
        </w:pBdr>
        <w:tabs>
          <w:tab w:val="clear" w:pos="432"/>
        </w:tabs>
        <w:overflowPunct w:val="0"/>
        <w:snapToGrid/>
        <w:spacing w:before="240" w:after="180"/>
        <w:textAlignment w:val="baseline"/>
        <w:rPr>
          <w:rFonts w:ascii="Arial" w:eastAsia="Times New Roman" w:hAnsi="Arial"/>
          <w:b w:val="0"/>
          <w:bCs w:val="0"/>
          <w:sz w:val="36"/>
          <w:szCs w:val="20"/>
          <w:lang w:eastAsia="en-GB"/>
        </w:rPr>
      </w:pPr>
      <w:r w:rsidRPr="004A4746">
        <w:rPr>
          <w:rFonts w:ascii="Arial" w:eastAsia="Times New Roman" w:hAnsi="Arial"/>
          <w:b w:val="0"/>
          <w:bCs w:val="0"/>
          <w:sz w:val="36"/>
          <w:szCs w:val="20"/>
          <w:lang w:eastAsia="en-GB"/>
        </w:rPr>
        <w:t>Reference</w:t>
      </w:r>
      <w:r w:rsidR="00716C7F">
        <w:rPr>
          <w:rFonts w:ascii="Arial" w:eastAsia="Times New Roman" w:hAnsi="Arial"/>
          <w:b w:val="0"/>
          <w:bCs w:val="0"/>
          <w:sz w:val="36"/>
          <w:szCs w:val="20"/>
          <w:lang w:eastAsia="en-GB"/>
        </w:rPr>
        <w:t>s</w:t>
      </w:r>
    </w:p>
    <w:p w14:paraId="6F74B619" w14:textId="734C1277" w:rsidR="004A4746" w:rsidRPr="006846FA" w:rsidRDefault="000B1F48" w:rsidP="004A4578">
      <w:pPr>
        <w:pStyle w:val="ListParagraph"/>
        <w:numPr>
          <w:ilvl w:val="0"/>
          <w:numId w:val="15"/>
        </w:numPr>
        <w:overflowPunct w:val="0"/>
        <w:spacing w:before="120"/>
        <w:ind w:firstLineChars="0"/>
        <w:textAlignment w:val="baseline"/>
        <w:rPr>
          <w:rStyle w:val="SubtleEmphasis"/>
        </w:rPr>
      </w:pPr>
      <w:bookmarkStart w:id="5" w:name="_Ref187657999"/>
      <w:r w:rsidRPr="006846FA">
        <w:rPr>
          <w:rStyle w:val="SubtleEmphasis"/>
          <w:lang w:val="en-GB" w:eastAsia="zh-CN"/>
        </w:rPr>
        <w:t>R</w:t>
      </w:r>
      <w:r w:rsidR="006846FA" w:rsidRPr="006846FA">
        <w:rPr>
          <w:rStyle w:val="SubtleEmphasis"/>
        </w:rPr>
        <w:t>2</w:t>
      </w:r>
      <w:r w:rsidRPr="006846FA">
        <w:rPr>
          <w:rStyle w:val="SubtleEmphasis"/>
          <w:lang w:val="en-GB" w:eastAsia="zh-CN"/>
        </w:rPr>
        <w:t>-24</w:t>
      </w:r>
      <w:r w:rsidR="006846FA" w:rsidRPr="006846FA">
        <w:rPr>
          <w:rStyle w:val="SubtleEmphasis"/>
        </w:rPr>
        <w:t>07848</w:t>
      </w:r>
      <w:r w:rsidRPr="006846FA">
        <w:rPr>
          <w:rStyle w:val="SubtleEmphasis"/>
          <w:lang w:val="en-GB" w:eastAsia="zh-CN"/>
        </w:rPr>
        <w:t>,</w:t>
      </w:r>
      <w:r w:rsidRPr="006846FA">
        <w:rPr>
          <w:rStyle w:val="SubtleEmphasis"/>
        </w:rPr>
        <w:t xml:space="preserve"> </w:t>
      </w:r>
      <w:r w:rsidRPr="006846FA">
        <w:rPr>
          <w:rStyle w:val="SubtleEmphasis"/>
          <w:lang w:eastAsia="zh-CN"/>
        </w:rPr>
        <w:t>LS on applicable functionality reporting for beam management UE-sided model</w:t>
      </w:r>
      <w:bookmarkEnd w:id="5"/>
    </w:p>
    <w:p w14:paraId="486D4C2D" w14:textId="15E3EAE0" w:rsidR="006846FA" w:rsidRPr="006846FA" w:rsidRDefault="006846FA" w:rsidP="004A4578">
      <w:pPr>
        <w:pStyle w:val="ListParagraph"/>
        <w:numPr>
          <w:ilvl w:val="0"/>
          <w:numId w:val="15"/>
        </w:numPr>
        <w:overflowPunct w:val="0"/>
        <w:spacing w:before="120"/>
        <w:ind w:firstLineChars="0"/>
        <w:textAlignment w:val="baseline"/>
        <w:rPr>
          <w:rStyle w:val="SubtleEmphasis"/>
          <w:lang w:eastAsia="zh-CN"/>
        </w:rPr>
      </w:pPr>
      <w:bookmarkStart w:id="6" w:name="_Ref187673156"/>
      <w:r w:rsidRPr="006846FA">
        <w:rPr>
          <w:rStyle w:val="SubtleEmphasis"/>
          <w:rFonts w:hint="eastAsia"/>
        </w:rPr>
        <w:t>R</w:t>
      </w:r>
      <w:r w:rsidRPr="006846FA">
        <w:rPr>
          <w:rStyle w:val="SubtleEmphasis"/>
        </w:rPr>
        <w:t xml:space="preserve">1-2410898, Reply </w:t>
      </w:r>
      <w:r w:rsidRPr="006846FA">
        <w:rPr>
          <w:rStyle w:val="SubtleEmphasis"/>
          <w:lang w:eastAsia="zh-CN"/>
        </w:rPr>
        <w:t>LS on applicable functionality reporting for beam management UE-sided model</w:t>
      </w:r>
      <w:bookmarkEnd w:id="6"/>
    </w:p>
    <w:sectPr w:rsidR="006846FA" w:rsidRPr="006846F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505A18" w14:textId="77777777" w:rsidR="00CA3E2C" w:rsidRDefault="00CA3E2C">
      <w:r>
        <w:separator/>
      </w:r>
    </w:p>
  </w:endnote>
  <w:endnote w:type="continuationSeparator" w:id="0">
    <w:p w14:paraId="46282A3D" w14:textId="77777777" w:rsidR="00CA3E2C" w:rsidRDefault="00CA3E2C">
      <w:r>
        <w:continuationSeparator/>
      </w:r>
    </w:p>
  </w:endnote>
  <w:endnote w:type="continuationNotice" w:id="1">
    <w:p w14:paraId="460FEB47" w14:textId="77777777" w:rsidR="00CA3E2C" w:rsidRDefault="00CA3E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B210CA" w14:textId="77777777" w:rsidR="00CA3E2C" w:rsidRDefault="00CA3E2C">
      <w:r>
        <w:separator/>
      </w:r>
    </w:p>
  </w:footnote>
  <w:footnote w:type="continuationSeparator" w:id="0">
    <w:p w14:paraId="6987E8E9" w14:textId="77777777" w:rsidR="00CA3E2C" w:rsidRDefault="00CA3E2C">
      <w:r>
        <w:continuationSeparator/>
      </w:r>
    </w:p>
  </w:footnote>
  <w:footnote w:type="continuationNotice" w:id="1">
    <w:p w14:paraId="601B19DA" w14:textId="77777777" w:rsidR="00CA3E2C" w:rsidRDefault="00CA3E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E3FE9"/>
    <w:multiLevelType w:val="hybridMultilevel"/>
    <w:tmpl w:val="AD80967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4281406"/>
    <w:multiLevelType w:val="hybridMultilevel"/>
    <w:tmpl w:val="AD80967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4C223E8"/>
    <w:multiLevelType w:val="hybridMultilevel"/>
    <w:tmpl w:val="A6E896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431451"/>
    <w:multiLevelType w:val="hybridMultilevel"/>
    <w:tmpl w:val="FE24309C"/>
    <w:lvl w:ilvl="0" w:tplc="64F0E58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B338A8"/>
    <w:multiLevelType w:val="hybridMultilevel"/>
    <w:tmpl w:val="A7EC7B06"/>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5"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325813"/>
    <w:multiLevelType w:val="hybridMultilevel"/>
    <w:tmpl w:val="177072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9128DF"/>
    <w:multiLevelType w:val="hybridMultilevel"/>
    <w:tmpl w:val="8D6CFA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8A1B4B"/>
    <w:multiLevelType w:val="hybridMultilevel"/>
    <w:tmpl w:val="A3D6EC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5C7C57"/>
    <w:multiLevelType w:val="hybridMultilevel"/>
    <w:tmpl w:val="B4B87120"/>
    <w:lvl w:ilvl="0" w:tplc="6E7AA8B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B557C1"/>
    <w:multiLevelType w:val="multilevel"/>
    <w:tmpl w:val="6ABE593E"/>
    <w:lvl w:ilvl="0">
      <w:start w:val="1"/>
      <w:numFmt w:val="decimal"/>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Arial" w:hAnsi="Arial" w:cs="Arial" w:hint="default"/>
        <w:b w:val="0"/>
        <w:i w:val="0"/>
        <w:sz w:val="28"/>
        <w:szCs w:val="28"/>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4D92C59"/>
    <w:multiLevelType w:val="hybridMultilevel"/>
    <w:tmpl w:val="F7EC9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1D6FD6"/>
    <w:multiLevelType w:val="hybridMultilevel"/>
    <w:tmpl w:val="8D6CFA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225B6A"/>
    <w:multiLevelType w:val="hybridMultilevel"/>
    <w:tmpl w:val="051668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8"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486F0BFF"/>
    <w:multiLevelType w:val="hybridMultilevel"/>
    <w:tmpl w:val="8D6CFA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143C2D"/>
    <w:multiLevelType w:val="hybridMultilevel"/>
    <w:tmpl w:val="9F3890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42E2B61"/>
    <w:multiLevelType w:val="hybridMultilevel"/>
    <w:tmpl w:val="E56C179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981628A"/>
    <w:multiLevelType w:val="hybridMultilevel"/>
    <w:tmpl w:val="27984C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F6A2734"/>
    <w:multiLevelType w:val="hybridMultilevel"/>
    <w:tmpl w:val="BF824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BD322B"/>
    <w:multiLevelType w:val="hybridMultilevel"/>
    <w:tmpl w:val="AD80967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79E569D"/>
    <w:multiLevelType w:val="hybridMultilevel"/>
    <w:tmpl w:val="125E04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FA68F6"/>
    <w:multiLevelType w:val="hybridMultilevel"/>
    <w:tmpl w:val="1E1ED7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541784"/>
    <w:multiLevelType w:val="hybridMultilevel"/>
    <w:tmpl w:val="AF1086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CF05ABA"/>
    <w:multiLevelType w:val="hybridMultilevel"/>
    <w:tmpl w:val="32B47960"/>
    <w:lvl w:ilvl="0" w:tplc="FD5072EC">
      <w:start w:val="1"/>
      <w:numFmt w:val="bullet"/>
      <w:lvlText w:val="-"/>
      <w:lvlJc w:val="left"/>
      <w:pPr>
        <w:ind w:left="717" w:hanging="360"/>
      </w:pPr>
      <w:rPr>
        <w:rFonts w:ascii="Arial" w:eastAsia="SimSun"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num w:numId="1">
    <w:abstractNumId w:val="17"/>
  </w:num>
  <w:num w:numId="2">
    <w:abstractNumId w:val="13"/>
  </w:num>
  <w:num w:numId="3">
    <w:abstractNumId w:val="7"/>
  </w:num>
  <w:num w:numId="4">
    <w:abstractNumId w:val="4"/>
  </w:num>
  <w:num w:numId="5">
    <w:abstractNumId w:val="19"/>
  </w:num>
  <w:num w:numId="6">
    <w:abstractNumId w:val="30"/>
  </w:num>
  <w:num w:numId="7">
    <w:abstractNumId w:val="24"/>
  </w:num>
  <w:num w:numId="8">
    <w:abstractNumId w:val="3"/>
  </w:num>
  <w:num w:numId="9">
    <w:abstractNumId w:val="5"/>
  </w:num>
  <w:num w:numId="10">
    <w:abstractNumId w:val="10"/>
  </w:num>
  <w:num w:numId="11">
    <w:abstractNumId w:val="6"/>
  </w:num>
  <w:num w:numId="12">
    <w:abstractNumId w:val="14"/>
  </w:num>
  <w:num w:numId="13">
    <w:abstractNumId w:val="15"/>
  </w:num>
  <w:num w:numId="14">
    <w:abstractNumId w:val="1"/>
  </w:num>
  <w:num w:numId="15">
    <w:abstractNumId w:val="12"/>
  </w:num>
  <w:num w:numId="16">
    <w:abstractNumId w:val="23"/>
  </w:num>
  <w:num w:numId="17">
    <w:abstractNumId w:val="18"/>
  </w:num>
  <w:num w:numId="18">
    <w:abstractNumId w:val="25"/>
  </w:num>
  <w:num w:numId="19">
    <w:abstractNumId w:val="16"/>
  </w:num>
  <w:num w:numId="20">
    <w:abstractNumId w:val="8"/>
  </w:num>
  <w:num w:numId="21">
    <w:abstractNumId w:val="0"/>
  </w:num>
  <w:num w:numId="22">
    <w:abstractNumId w:val="27"/>
  </w:num>
  <w:num w:numId="23">
    <w:abstractNumId w:val="28"/>
  </w:num>
  <w:num w:numId="24">
    <w:abstractNumId w:val="2"/>
  </w:num>
  <w:num w:numId="25">
    <w:abstractNumId w:val="11"/>
  </w:num>
  <w:num w:numId="26">
    <w:abstractNumId w:val="26"/>
  </w:num>
  <w:num w:numId="27">
    <w:abstractNumId w:val="20"/>
  </w:num>
  <w:num w:numId="28">
    <w:abstractNumId w:val="22"/>
  </w:num>
  <w:num w:numId="29">
    <w:abstractNumId w:val="29"/>
  </w:num>
  <w:num w:numId="30">
    <w:abstractNumId w:val="21"/>
  </w:num>
  <w:num w:numId="31">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93E"/>
    <w:rsid w:val="00000D04"/>
    <w:rsid w:val="00000DB2"/>
    <w:rsid w:val="00000DFB"/>
    <w:rsid w:val="00000FD7"/>
    <w:rsid w:val="000013C6"/>
    <w:rsid w:val="00001638"/>
    <w:rsid w:val="0000166B"/>
    <w:rsid w:val="00001741"/>
    <w:rsid w:val="000017CE"/>
    <w:rsid w:val="00001B3D"/>
    <w:rsid w:val="00001B3F"/>
    <w:rsid w:val="00001C76"/>
    <w:rsid w:val="00001F5E"/>
    <w:rsid w:val="000020F6"/>
    <w:rsid w:val="000022DB"/>
    <w:rsid w:val="00002588"/>
    <w:rsid w:val="00002893"/>
    <w:rsid w:val="000029A6"/>
    <w:rsid w:val="000029C0"/>
    <w:rsid w:val="00002FC0"/>
    <w:rsid w:val="000033A3"/>
    <w:rsid w:val="0000342D"/>
    <w:rsid w:val="000035D7"/>
    <w:rsid w:val="00003605"/>
    <w:rsid w:val="00003779"/>
    <w:rsid w:val="000038ED"/>
    <w:rsid w:val="00003956"/>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370"/>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07D63"/>
    <w:rsid w:val="0001025E"/>
    <w:rsid w:val="00010297"/>
    <w:rsid w:val="0001052D"/>
    <w:rsid w:val="000109E6"/>
    <w:rsid w:val="000109FC"/>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39B"/>
    <w:rsid w:val="00012798"/>
    <w:rsid w:val="00012862"/>
    <w:rsid w:val="000128E6"/>
    <w:rsid w:val="00012A60"/>
    <w:rsid w:val="00012B49"/>
    <w:rsid w:val="00012D6E"/>
    <w:rsid w:val="00012EC4"/>
    <w:rsid w:val="00013130"/>
    <w:rsid w:val="000133B5"/>
    <w:rsid w:val="00013464"/>
    <w:rsid w:val="000134DC"/>
    <w:rsid w:val="00013596"/>
    <w:rsid w:val="00013B8E"/>
    <w:rsid w:val="00013BCD"/>
    <w:rsid w:val="00014B3A"/>
    <w:rsid w:val="00014B9A"/>
    <w:rsid w:val="00014C07"/>
    <w:rsid w:val="00015264"/>
    <w:rsid w:val="000152C9"/>
    <w:rsid w:val="00015309"/>
    <w:rsid w:val="000154DF"/>
    <w:rsid w:val="00015A07"/>
    <w:rsid w:val="00015C11"/>
    <w:rsid w:val="00015C3E"/>
    <w:rsid w:val="00015E68"/>
    <w:rsid w:val="00015EAC"/>
    <w:rsid w:val="00015EFB"/>
    <w:rsid w:val="000160C0"/>
    <w:rsid w:val="000160ED"/>
    <w:rsid w:val="0001621E"/>
    <w:rsid w:val="0001634A"/>
    <w:rsid w:val="000165E2"/>
    <w:rsid w:val="0001667D"/>
    <w:rsid w:val="0001669A"/>
    <w:rsid w:val="0001683A"/>
    <w:rsid w:val="00016D81"/>
    <w:rsid w:val="00016D8B"/>
    <w:rsid w:val="00017194"/>
    <w:rsid w:val="0001720C"/>
    <w:rsid w:val="0001722B"/>
    <w:rsid w:val="000172BE"/>
    <w:rsid w:val="0001738C"/>
    <w:rsid w:val="0001754B"/>
    <w:rsid w:val="00017613"/>
    <w:rsid w:val="00017736"/>
    <w:rsid w:val="0001786B"/>
    <w:rsid w:val="00017AC7"/>
    <w:rsid w:val="00017B22"/>
    <w:rsid w:val="00017B52"/>
    <w:rsid w:val="00017D8A"/>
    <w:rsid w:val="00020376"/>
    <w:rsid w:val="0002043B"/>
    <w:rsid w:val="00020D44"/>
    <w:rsid w:val="00020DF9"/>
    <w:rsid w:val="00020EAC"/>
    <w:rsid w:val="00020ED9"/>
    <w:rsid w:val="000212F1"/>
    <w:rsid w:val="00021555"/>
    <w:rsid w:val="00021668"/>
    <w:rsid w:val="000217F7"/>
    <w:rsid w:val="00021A18"/>
    <w:rsid w:val="00021A74"/>
    <w:rsid w:val="00021DC9"/>
    <w:rsid w:val="00021E81"/>
    <w:rsid w:val="00021F34"/>
    <w:rsid w:val="0002216F"/>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61A"/>
    <w:rsid w:val="00024683"/>
    <w:rsid w:val="00024819"/>
    <w:rsid w:val="00024CE5"/>
    <w:rsid w:val="00024D1D"/>
    <w:rsid w:val="00024DE5"/>
    <w:rsid w:val="00024FE1"/>
    <w:rsid w:val="0002519B"/>
    <w:rsid w:val="00025200"/>
    <w:rsid w:val="00025309"/>
    <w:rsid w:val="000256E7"/>
    <w:rsid w:val="00025BD3"/>
    <w:rsid w:val="00025E62"/>
    <w:rsid w:val="000263A5"/>
    <w:rsid w:val="000263A7"/>
    <w:rsid w:val="000264B3"/>
    <w:rsid w:val="0002650A"/>
    <w:rsid w:val="000266C6"/>
    <w:rsid w:val="000269F0"/>
    <w:rsid w:val="00026A13"/>
    <w:rsid w:val="00026A7B"/>
    <w:rsid w:val="00026B72"/>
    <w:rsid w:val="00026D4B"/>
    <w:rsid w:val="00026ECE"/>
    <w:rsid w:val="00027428"/>
    <w:rsid w:val="000275C6"/>
    <w:rsid w:val="000278E0"/>
    <w:rsid w:val="00027A81"/>
    <w:rsid w:val="00027AD6"/>
    <w:rsid w:val="00027AFD"/>
    <w:rsid w:val="00027E15"/>
    <w:rsid w:val="00030104"/>
    <w:rsid w:val="0003024C"/>
    <w:rsid w:val="000303CA"/>
    <w:rsid w:val="0003080F"/>
    <w:rsid w:val="00030A47"/>
    <w:rsid w:val="00030AF4"/>
    <w:rsid w:val="00030D5B"/>
    <w:rsid w:val="00030E2B"/>
    <w:rsid w:val="00030F6B"/>
    <w:rsid w:val="00031135"/>
    <w:rsid w:val="00031188"/>
    <w:rsid w:val="000313DB"/>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00"/>
    <w:rsid w:val="00033337"/>
    <w:rsid w:val="0003376B"/>
    <w:rsid w:val="000337A0"/>
    <w:rsid w:val="00033955"/>
    <w:rsid w:val="00033AF8"/>
    <w:rsid w:val="00033D8F"/>
    <w:rsid w:val="00033FFD"/>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6AA"/>
    <w:rsid w:val="00035871"/>
    <w:rsid w:val="00035B18"/>
    <w:rsid w:val="00035B26"/>
    <w:rsid w:val="00035B74"/>
    <w:rsid w:val="00035DCB"/>
    <w:rsid w:val="00035F6C"/>
    <w:rsid w:val="00035FEF"/>
    <w:rsid w:val="000360F7"/>
    <w:rsid w:val="000363A0"/>
    <w:rsid w:val="0003686B"/>
    <w:rsid w:val="00037339"/>
    <w:rsid w:val="00037420"/>
    <w:rsid w:val="00037484"/>
    <w:rsid w:val="000379E3"/>
    <w:rsid w:val="000379FA"/>
    <w:rsid w:val="00037B10"/>
    <w:rsid w:val="00037E11"/>
    <w:rsid w:val="000400C0"/>
    <w:rsid w:val="0004023E"/>
    <w:rsid w:val="0004024B"/>
    <w:rsid w:val="0004025E"/>
    <w:rsid w:val="0004027E"/>
    <w:rsid w:val="000402F4"/>
    <w:rsid w:val="000405B8"/>
    <w:rsid w:val="00040753"/>
    <w:rsid w:val="00040C6E"/>
    <w:rsid w:val="00040E40"/>
    <w:rsid w:val="0004103F"/>
    <w:rsid w:val="0004108F"/>
    <w:rsid w:val="00041173"/>
    <w:rsid w:val="00041479"/>
    <w:rsid w:val="0004148A"/>
    <w:rsid w:val="0004153F"/>
    <w:rsid w:val="0004167B"/>
    <w:rsid w:val="00041747"/>
    <w:rsid w:val="00041B11"/>
    <w:rsid w:val="00041C57"/>
    <w:rsid w:val="00041C5C"/>
    <w:rsid w:val="00041CCB"/>
    <w:rsid w:val="00041F42"/>
    <w:rsid w:val="00042075"/>
    <w:rsid w:val="00042204"/>
    <w:rsid w:val="000427C3"/>
    <w:rsid w:val="0004290D"/>
    <w:rsid w:val="000429BF"/>
    <w:rsid w:val="00042E52"/>
    <w:rsid w:val="00042FC1"/>
    <w:rsid w:val="000433E0"/>
    <w:rsid w:val="000434B7"/>
    <w:rsid w:val="000435E4"/>
    <w:rsid w:val="00043607"/>
    <w:rsid w:val="00043ABE"/>
    <w:rsid w:val="00043C35"/>
    <w:rsid w:val="00043D43"/>
    <w:rsid w:val="00043D58"/>
    <w:rsid w:val="00043D85"/>
    <w:rsid w:val="00043E5A"/>
    <w:rsid w:val="000443FF"/>
    <w:rsid w:val="000445A9"/>
    <w:rsid w:val="0004487C"/>
    <w:rsid w:val="00045017"/>
    <w:rsid w:val="0004542A"/>
    <w:rsid w:val="000454F1"/>
    <w:rsid w:val="000455A0"/>
    <w:rsid w:val="0004582E"/>
    <w:rsid w:val="00045873"/>
    <w:rsid w:val="00045987"/>
    <w:rsid w:val="00045F79"/>
    <w:rsid w:val="000462AF"/>
    <w:rsid w:val="000463D7"/>
    <w:rsid w:val="00046743"/>
    <w:rsid w:val="0004676D"/>
    <w:rsid w:val="00046796"/>
    <w:rsid w:val="000467FD"/>
    <w:rsid w:val="00046AAF"/>
    <w:rsid w:val="00047029"/>
    <w:rsid w:val="00047194"/>
    <w:rsid w:val="00047225"/>
    <w:rsid w:val="0004738A"/>
    <w:rsid w:val="00047634"/>
    <w:rsid w:val="0004779E"/>
    <w:rsid w:val="00047ABF"/>
    <w:rsid w:val="00047AED"/>
    <w:rsid w:val="00047E60"/>
    <w:rsid w:val="00047F7E"/>
    <w:rsid w:val="000500E4"/>
    <w:rsid w:val="00050369"/>
    <w:rsid w:val="00050806"/>
    <w:rsid w:val="0005084D"/>
    <w:rsid w:val="000508A0"/>
    <w:rsid w:val="00050A6C"/>
    <w:rsid w:val="00051013"/>
    <w:rsid w:val="0005109E"/>
    <w:rsid w:val="00051682"/>
    <w:rsid w:val="0005179D"/>
    <w:rsid w:val="000519C1"/>
    <w:rsid w:val="00051BF2"/>
    <w:rsid w:val="00051D72"/>
    <w:rsid w:val="00051E6D"/>
    <w:rsid w:val="000523A4"/>
    <w:rsid w:val="00052421"/>
    <w:rsid w:val="000527B1"/>
    <w:rsid w:val="00052AD2"/>
    <w:rsid w:val="00052E1F"/>
    <w:rsid w:val="00052E45"/>
    <w:rsid w:val="000530DF"/>
    <w:rsid w:val="00053559"/>
    <w:rsid w:val="000535A9"/>
    <w:rsid w:val="00053824"/>
    <w:rsid w:val="000538D5"/>
    <w:rsid w:val="00053A35"/>
    <w:rsid w:val="00053F84"/>
    <w:rsid w:val="000549B5"/>
    <w:rsid w:val="00054AD4"/>
    <w:rsid w:val="00054E0C"/>
    <w:rsid w:val="0005529F"/>
    <w:rsid w:val="0005536C"/>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616"/>
    <w:rsid w:val="00062662"/>
    <w:rsid w:val="00062960"/>
    <w:rsid w:val="00062C30"/>
    <w:rsid w:val="00062FF1"/>
    <w:rsid w:val="0006305A"/>
    <w:rsid w:val="00063213"/>
    <w:rsid w:val="00063809"/>
    <w:rsid w:val="0006386C"/>
    <w:rsid w:val="0006394D"/>
    <w:rsid w:val="00063B34"/>
    <w:rsid w:val="00063C77"/>
    <w:rsid w:val="00063F05"/>
    <w:rsid w:val="00063F8B"/>
    <w:rsid w:val="00064082"/>
    <w:rsid w:val="000646D9"/>
    <w:rsid w:val="000649AC"/>
    <w:rsid w:val="00064A13"/>
    <w:rsid w:val="00064A1C"/>
    <w:rsid w:val="00064E36"/>
    <w:rsid w:val="00065135"/>
    <w:rsid w:val="0006534F"/>
    <w:rsid w:val="0006556F"/>
    <w:rsid w:val="000657F5"/>
    <w:rsid w:val="00065A45"/>
    <w:rsid w:val="00065BB2"/>
    <w:rsid w:val="00065D38"/>
    <w:rsid w:val="00065D86"/>
    <w:rsid w:val="00065F2B"/>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CC"/>
    <w:rsid w:val="000704EA"/>
    <w:rsid w:val="000706E7"/>
    <w:rsid w:val="00070B85"/>
    <w:rsid w:val="00070E62"/>
    <w:rsid w:val="00070EF8"/>
    <w:rsid w:val="00070F53"/>
    <w:rsid w:val="0007118D"/>
    <w:rsid w:val="00071192"/>
    <w:rsid w:val="000713A7"/>
    <w:rsid w:val="00071485"/>
    <w:rsid w:val="00071B10"/>
    <w:rsid w:val="00071BFF"/>
    <w:rsid w:val="00071C90"/>
    <w:rsid w:val="00071E81"/>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3FE2"/>
    <w:rsid w:val="0007426F"/>
    <w:rsid w:val="000743B2"/>
    <w:rsid w:val="000745AA"/>
    <w:rsid w:val="000748FF"/>
    <w:rsid w:val="0007492E"/>
    <w:rsid w:val="00074C64"/>
    <w:rsid w:val="00074E31"/>
    <w:rsid w:val="00074E86"/>
    <w:rsid w:val="00074E8C"/>
    <w:rsid w:val="000754C3"/>
    <w:rsid w:val="000755CD"/>
    <w:rsid w:val="00075658"/>
    <w:rsid w:val="00075905"/>
    <w:rsid w:val="00075C13"/>
    <w:rsid w:val="00076097"/>
    <w:rsid w:val="00076317"/>
    <w:rsid w:val="0007640C"/>
    <w:rsid w:val="00076541"/>
    <w:rsid w:val="00076904"/>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4CF"/>
    <w:rsid w:val="00080BB7"/>
    <w:rsid w:val="00080C9A"/>
    <w:rsid w:val="00080EB4"/>
    <w:rsid w:val="000810D3"/>
    <w:rsid w:val="00081476"/>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E13"/>
    <w:rsid w:val="00082F0F"/>
    <w:rsid w:val="0008335B"/>
    <w:rsid w:val="00083379"/>
    <w:rsid w:val="0008338C"/>
    <w:rsid w:val="00083587"/>
    <w:rsid w:val="00083838"/>
    <w:rsid w:val="000838BC"/>
    <w:rsid w:val="00083B6A"/>
    <w:rsid w:val="00083BF9"/>
    <w:rsid w:val="00084098"/>
    <w:rsid w:val="00084375"/>
    <w:rsid w:val="0008456C"/>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0E"/>
    <w:rsid w:val="00086F5D"/>
    <w:rsid w:val="00087253"/>
    <w:rsid w:val="000874D3"/>
    <w:rsid w:val="00087913"/>
    <w:rsid w:val="00087A97"/>
    <w:rsid w:val="00087B2A"/>
    <w:rsid w:val="00087D28"/>
    <w:rsid w:val="00087F29"/>
    <w:rsid w:val="00087F91"/>
    <w:rsid w:val="0009001E"/>
    <w:rsid w:val="00090272"/>
    <w:rsid w:val="000902C8"/>
    <w:rsid w:val="000902DC"/>
    <w:rsid w:val="0009076B"/>
    <w:rsid w:val="00090D8D"/>
    <w:rsid w:val="000911AE"/>
    <w:rsid w:val="00091CC7"/>
    <w:rsid w:val="0009231E"/>
    <w:rsid w:val="00092637"/>
    <w:rsid w:val="00092CEE"/>
    <w:rsid w:val="00092F87"/>
    <w:rsid w:val="00092F9F"/>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2F0"/>
    <w:rsid w:val="00095E9D"/>
    <w:rsid w:val="00096356"/>
    <w:rsid w:val="0009661F"/>
    <w:rsid w:val="0009684B"/>
    <w:rsid w:val="000969CC"/>
    <w:rsid w:val="00096CE3"/>
    <w:rsid w:val="00096FE9"/>
    <w:rsid w:val="000970C2"/>
    <w:rsid w:val="0009726D"/>
    <w:rsid w:val="00097332"/>
    <w:rsid w:val="00097729"/>
    <w:rsid w:val="00097B60"/>
    <w:rsid w:val="00097C99"/>
    <w:rsid w:val="00097D38"/>
    <w:rsid w:val="00097F9F"/>
    <w:rsid w:val="000A03BA"/>
    <w:rsid w:val="000A04A8"/>
    <w:rsid w:val="000A0D0F"/>
    <w:rsid w:val="000A0F14"/>
    <w:rsid w:val="000A1174"/>
    <w:rsid w:val="000A1268"/>
    <w:rsid w:val="000A1441"/>
    <w:rsid w:val="000A1499"/>
    <w:rsid w:val="000A17D0"/>
    <w:rsid w:val="000A1A06"/>
    <w:rsid w:val="000A1B4B"/>
    <w:rsid w:val="000A1B60"/>
    <w:rsid w:val="000A1BC7"/>
    <w:rsid w:val="000A1CD4"/>
    <w:rsid w:val="000A2140"/>
    <w:rsid w:val="000A21B4"/>
    <w:rsid w:val="000A29C3"/>
    <w:rsid w:val="000A2CC7"/>
    <w:rsid w:val="000A2E06"/>
    <w:rsid w:val="000A2ED6"/>
    <w:rsid w:val="000A31DF"/>
    <w:rsid w:val="000A3460"/>
    <w:rsid w:val="000A34BF"/>
    <w:rsid w:val="000A39ED"/>
    <w:rsid w:val="000A3B47"/>
    <w:rsid w:val="000A3B8B"/>
    <w:rsid w:val="000A3C11"/>
    <w:rsid w:val="000A3D35"/>
    <w:rsid w:val="000A3F51"/>
    <w:rsid w:val="000A4205"/>
    <w:rsid w:val="000A4539"/>
    <w:rsid w:val="000A4A19"/>
    <w:rsid w:val="000A4F9C"/>
    <w:rsid w:val="000A4FDA"/>
    <w:rsid w:val="000A5136"/>
    <w:rsid w:val="000A5344"/>
    <w:rsid w:val="000A53FC"/>
    <w:rsid w:val="000A5482"/>
    <w:rsid w:val="000A5859"/>
    <w:rsid w:val="000A588E"/>
    <w:rsid w:val="000A5BDA"/>
    <w:rsid w:val="000A6002"/>
    <w:rsid w:val="000A61EB"/>
    <w:rsid w:val="000A6351"/>
    <w:rsid w:val="000A63D6"/>
    <w:rsid w:val="000A67D4"/>
    <w:rsid w:val="000A67FE"/>
    <w:rsid w:val="000A6851"/>
    <w:rsid w:val="000A6852"/>
    <w:rsid w:val="000A6DE8"/>
    <w:rsid w:val="000A6F2D"/>
    <w:rsid w:val="000A700C"/>
    <w:rsid w:val="000A734A"/>
    <w:rsid w:val="000A7427"/>
    <w:rsid w:val="000A775F"/>
    <w:rsid w:val="000A7B38"/>
    <w:rsid w:val="000B00E3"/>
    <w:rsid w:val="000B0343"/>
    <w:rsid w:val="000B0386"/>
    <w:rsid w:val="000B03B2"/>
    <w:rsid w:val="000B0419"/>
    <w:rsid w:val="000B049C"/>
    <w:rsid w:val="000B059C"/>
    <w:rsid w:val="000B0D16"/>
    <w:rsid w:val="000B0DB7"/>
    <w:rsid w:val="000B1057"/>
    <w:rsid w:val="000B1231"/>
    <w:rsid w:val="000B1232"/>
    <w:rsid w:val="000B1467"/>
    <w:rsid w:val="000B158B"/>
    <w:rsid w:val="000B1675"/>
    <w:rsid w:val="000B1923"/>
    <w:rsid w:val="000B196C"/>
    <w:rsid w:val="000B1A6B"/>
    <w:rsid w:val="000B1F22"/>
    <w:rsid w:val="000B1F48"/>
    <w:rsid w:val="000B25DB"/>
    <w:rsid w:val="000B2768"/>
    <w:rsid w:val="000B2985"/>
    <w:rsid w:val="000B2A6F"/>
    <w:rsid w:val="000B2C88"/>
    <w:rsid w:val="000B2E28"/>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4C04"/>
    <w:rsid w:val="000B51FA"/>
    <w:rsid w:val="000B5905"/>
    <w:rsid w:val="000B5975"/>
    <w:rsid w:val="000B5B9A"/>
    <w:rsid w:val="000B5C46"/>
    <w:rsid w:val="000B5EAC"/>
    <w:rsid w:val="000B5EDB"/>
    <w:rsid w:val="000B5EF7"/>
    <w:rsid w:val="000B61B7"/>
    <w:rsid w:val="000B65B0"/>
    <w:rsid w:val="000B65FD"/>
    <w:rsid w:val="000B6751"/>
    <w:rsid w:val="000B676C"/>
    <w:rsid w:val="000B6786"/>
    <w:rsid w:val="000B6944"/>
    <w:rsid w:val="000B6A48"/>
    <w:rsid w:val="000B6B2C"/>
    <w:rsid w:val="000B6B90"/>
    <w:rsid w:val="000B6E05"/>
    <w:rsid w:val="000B6E2C"/>
    <w:rsid w:val="000B6FDD"/>
    <w:rsid w:val="000B721F"/>
    <w:rsid w:val="000B744E"/>
    <w:rsid w:val="000B746F"/>
    <w:rsid w:val="000B76C5"/>
    <w:rsid w:val="000B792C"/>
    <w:rsid w:val="000B795E"/>
    <w:rsid w:val="000B7A10"/>
    <w:rsid w:val="000B7EF4"/>
    <w:rsid w:val="000C00AE"/>
    <w:rsid w:val="000C031A"/>
    <w:rsid w:val="000C0429"/>
    <w:rsid w:val="000C0981"/>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8A2"/>
    <w:rsid w:val="000C3AA0"/>
    <w:rsid w:val="000C3B0C"/>
    <w:rsid w:val="000C3B52"/>
    <w:rsid w:val="000C3CAB"/>
    <w:rsid w:val="000C3CEB"/>
    <w:rsid w:val="000C3DFF"/>
    <w:rsid w:val="000C422D"/>
    <w:rsid w:val="000C491E"/>
    <w:rsid w:val="000C4981"/>
    <w:rsid w:val="000C4982"/>
    <w:rsid w:val="000C4BBA"/>
    <w:rsid w:val="000C55A7"/>
    <w:rsid w:val="000C5D2B"/>
    <w:rsid w:val="000C5F91"/>
    <w:rsid w:val="000C6025"/>
    <w:rsid w:val="000C60CB"/>
    <w:rsid w:val="000C60FD"/>
    <w:rsid w:val="000C611D"/>
    <w:rsid w:val="000C639F"/>
    <w:rsid w:val="000C63E3"/>
    <w:rsid w:val="000C6430"/>
    <w:rsid w:val="000C68A0"/>
    <w:rsid w:val="000C6A36"/>
    <w:rsid w:val="000C6ACD"/>
    <w:rsid w:val="000C6C63"/>
    <w:rsid w:val="000C6D32"/>
    <w:rsid w:val="000C7131"/>
    <w:rsid w:val="000C72E4"/>
    <w:rsid w:val="000C7726"/>
    <w:rsid w:val="000C7E09"/>
    <w:rsid w:val="000C7E0E"/>
    <w:rsid w:val="000D0310"/>
    <w:rsid w:val="000D0313"/>
    <w:rsid w:val="000D037D"/>
    <w:rsid w:val="000D0565"/>
    <w:rsid w:val="000D0615"/>
    <w:rsid w:val="000D09C1"/>
    <w:rsid w:val="000D0AFC"/>
    <w:rsid w:val="000D0B40"/>
    <w:rsid w:val="000D0E4E"/>
    <w:rsid w:val="000D0FDD"/>
    <w:rsid w:val="000D102F"/>
    <w:rsid w:val="000D113C"/>
    <w:rsid w:val="000D1180"/>
    <w:rsid w:val="000D12D1"/>
    <w:rsid w:val="000D159A"/>
    <w:rsid w:val="000D1796"/>
    <w:rsid w:val="000D1873"/>
    <w:rsid w:val="000D1AEC"/>
    <w:rsid w:val="000D1DF0"/>
    <w:rsid w:val="000D1FEC"/>
    <w:rsid w:val="000D1FF0"/>
    <w:rsid w:val="000D2164"/>
    <w:rsid w:val="000D22CC"/>
    <w:rsid w:val="000D2560"/>
    <w:rsid w:val="000D2731"/>
    <w:rsid w:val="000D2986"/>
    <w:rsid w:val="000D2DE9"/>
    <w:rsid w:val="000D3311"/>
    <w:rsid w:val="000D336D"/>
    <w:rsid w:val="000D34A5"/>
    <w:rsid w:val="000D36AE"/>
    <w:rsid w:val="000D373D"/>
    <w:rsid w:val="000D38A1"/>
    <w:rsid w:val="000D38A7"/>
    <w:rsid w:val="000D3A30"/>
    <w:rsid w:val="000D3C9E"/>
    <w:rsid w:val="000D3DB0"/>
    <w:rsid w:val="000D3DF1"/>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2AB"/>
    <w:rsid w:val="000D6435"/>
    <w:rsid w:val="000D6477"/>
    <w:rsid w:val="000D6A3E"/>
    <w:rsid w:val="000D6B5A"/>
    <w:rsid w:val="000D6B74"/>
    <w:rsid w:val="000D6BEB"/>
    <w:rsid w:val="000D6D16"/>
    <w:rsid w:val="000D6FA3"/>
    <w:rsid w:val="000D7156"/>
    <w:rsid w:val="000D71C8"/>
    <w:rsid w:val="000D71E2"/>
    <w:rsid w:val="000D73A5"/>
    <w:rsid w:val="000D7554"/>
    <w:rsid w:val="000D770B"/>
    <w:rsid w:val="000D787A"/>
    <w:rsid w:val="000D7884"/>
    <w:rsid w:val="000D7E8A"/>
    <w:rsid w:val="000E029C"/>
    <w:rsid w:val="000E0308"/>
    <w:rsid w:val="000E0663"/>
    <w:rsid w:val="000E07D6"/>
    <w:rsid w:val="000E08D9"/>
    <w:rsid w:val="000E0B5C"/>
    <w:rsid w:val="000E0C2D"/>
    <w:rsid w:val="000E0C5C"/>
    <w:rsid w:val="000E0CBD"/>
    <w:rsid w:val="000E1233"/>
    <w:rsid w:val="000E1380"/>
    <w:rsid w:val="000E15B7"/>
    <w:rsid w:val="000E186C"/>
    <w:rsid w:val="000E18DF"/>
    <w:rsid w:val="000E18FE"/>
    <w:rsid w:val="000E19B1"/>
    <w:rsid w:val="000E1B79"/>
    <w:rsid w:val="000E1B87"/>
    <w:rsid w:val="000E1CC7"/>
    <w:rsid w:val="000E1CFE"/>
    <w:rsid w:val="000E2478"/>
    <w:rsid w:val="000E2746"/>
    <w:rsid w:val="000E27A5"/>
    <w:rsid w:val="000E27EF"/>
    <w:rsid w:val="000E2807"/>
    <w:rsid w:val="000E29B2"/>
    <w:rsid w:val="000E2B83"/>
    <w:rsid w:val="000E2E35"/>
    <w:rsid w:val="000E2E39"/>
    <w:rsid w:val="000E2F6F"/>
    <w:rsid w:val="000E3055"/>
    <w:rsid w:val="000E3452"/>
    <w:rsid w:val="000E34F1"/>
    <w:rsid w:val="000E357B"/>
    <w:rsid w:val="000E3621"/>
    <w:rsid w:val="000E3659"/>
    <w:rsid w:val="000E371C"/>
    <w:rsid w:val="000E3A06"/>
    <w:rsid w:val="000E3ABE"/>
    <w:rsid w:val="000E3C50"/>
    <w:rsid w:val="000E3D42"/>
    <w:rsid w:val="000E41B4"/>
    <w:rsid w:val="000E44BD"/>
    <w:rsid w:val="000E478B"/>
    <w:rsid w:val="000E4874"/>
    <w:rsid w:val="000E4E94"/>
    <w:rsid w:val="000E4EDC"/>
    <w:rsid w:val="000E4EF7"/>
    <w:rsid w:val="000E581F"/>
    <w:rsid w:val="000E59A0"/>
    <w:rsid w:val="000E5D70"/>
    <w:rsid w:val="000E5D83"/>
    <w:rsid w:val="000E5E1E"/>
    <w:rsid w:val="000E5E4A"/>
    <w:rsid w:val="000E5EA4"/>
    <w:rsid w:val="000E6305"/>
    <w:rsid w:val="000E6933"/>
    <w:rsid w:val="000E6C16"/>
    <w:rsid w:val="000E6C80"/>
    <w:rsid w:val="000E6DE8"/>
    <w:rsid w:val="000E6FA5"/>
    <w:rsid w:val="000E70D7"/>
    <w:rsid w:val="000E70DC"/>
    <w:rsid w:val="000E7A84"/>
    <w:rsid w:val="000E7B50"/>
    <w:rsid w:val="000E7CA3"/>
    <w:rsid w:val="000E7D3C"/>
    <w:rsid w:val="000E7DC7"/>
    <w:rsid w:val="000E7E82"/>
    <w:rsid w:val="000E7E93"/>
    <w:rsid w:val="000F02B7"/>
    <w:rsid w:val="000F04A4"/>
    <w:rsid w:val="000F0A2A"/>
    <w:rsid w:val="000F0CCD"/>
    <w:rsid w:val="000F11E8"/>
    <w:rsid w:val="000F15BC"/>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415"/>
    <w:rsid w:val="000F3609"/>
    <w:rsid w:val="000F3697"/>
    <w:rsid w:val="000F3911"/>
    <w:rsid w:val="000F3B40"/>
    <w:rsid w:val="000F3D3B"/>
    <w:rsid w:val="000F4451"/>
    <w:rsid w:val="000F44B4"/>
    <w:rsid w:val="000F4626"/>
    <w:rsid w:val="000F470E"/>
    <w:rsid w:val="000F49EC"/>
    <w:rsid w:val="000F4AC0"/>
    <w:rsid w:val="000F4B0B"/>
    <w:rsid w:val="000F4BC8"/>
    <w:rsid w:val="000F4CAE"/>
    <w:rsid w:val="000F532C"/>
    <w:rsid w:val="000F5930"/>
    <w:rsid w:val="000F5F06"/>
    <w:rsid w:val="000F617A"/>
    <w:rsid w:val="000F61C6"/>
    <w:rsid w:val="000F62B0"/>
    <w:rsid w:val="000F6407"/>
    <w:rsid w:val="000F6486"/>
    <w:rsid w:val="000F64A5"/>
    <w:rsid w:val="000F6502"/>
    <w:rsid w:val="000F67CE"/>
    <w:rsid w:val="000F67E5"/>
    <w:rsid w:val="000F68BD"/>
    <w:rsid w:val="000F6946"/>
    <w:rsid w:val="000F694C"/>
    <w:rsid w:val="000F6C8A"/>
    <w:rsid w:val="000F6FAE"/>
    <w:rsid w:val="000F71DC"/>
    <w:rsid w:val="000F7290"/>
    <w:rsid w:val="000F74F4"/>
    <w:rsid w:val="000F75EC"/>
    <w:rsid w:val="000F760E"/>
    <w:rsid w:val="000F7623"/>
    <w:rsid w:val="000F78F3"/>
    <w:rsid w:val="000F7A30"/>
    <w:rsid w:val="000F7DD0"/>
    <w:rsid w:val="000F7E65"/>
    <w:rsid w:val="000F7F24"/>
    <w:rsid w:val="000F7F58"/>
    <w:rsid w:val="00100128"/>
    <w:rsid w:val="0010058D"/>
    <w:rsid w:val="00100811"/>
    <w:rsid w:val="00100AB8"/>
    <w:rsid w:val="00100AF2"/>
    <w:rsid w:val="00100FF3"/>
    <w:rsid w:val="001017DB"/>
    <w:rsid w:val="00101D8E"/>
    <w:rsid w:val="00101F8F"/>
    <w:rsid w:val="00101FCC"/>
    <w:rsid w:val="001020ED"/>
    <w:rsid w:val="0010212E"/>
    <w:rsid w:val="00102235"/>
    <w:rsid w:val="001024A8"/>
    <w:rsid w:val="001024C5"/>
    <w:rsid w:val="00102599"/>
    <w:rsid w:val="001026CA"/>
    <w:rsid w:val="00102F13"/>
    <w:rsid w:val="00103096"/>
    <w:rsid w:val="001031DE"/>
    <w:rsid w:val="001031E0"/>
    <w:rsid w:val="00103248"/>
    <w:rsid w:val="00103310"/>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8EC"/>
    <w:rsid w:val="00105BF0"/>
    <w:rsid w:val="00105C89"/>
    <w:rsid w:val="00105CC7"/>
    <w:rsid w:val="00105DAF"/>
    <w:rsid w:val="00106022"/>
    <w:rsid w:val="00106108"/>
    <w:rsid w:val="0010694D"/>
    <w:rsid w:val="00106DEF"/>
    <w:rsid w:val="001071F0"/>
    <w:rsid w:val="001075E5"/>
    <w:rsid w:val="00107779"/>
    <w:rsid w:val="001078C2"/>
    <w:rsid w:val="00107A76"/>
    <w:rsid w:val="00107B6C"/>
    <w:rsid w:val="00107C7F"/>
    <w:rsid w:val="00107E1C"/>
    <w:rsid w:val="00110208"/>
    <w:rsid w:val="00110243"/>
    <w:rsid w:val="00110322"/>
    <w:rsid w:val="00110700"/>
    <w:rsid w:val="00110721"/>
    <w:rsid w:val="00110E97"/>
    <w:rsid w:val="00110F53"/>
    <w:rsid w:val="0011101D"/>
    <w:rsid w:val="00111023"/>
    <w:rsid w:val="00111291"/>
    <w:rsid w:val="001112C4"/>
    <w:rsid w:val="00111335"/>
    <w:rsid w:val="00111444"/>
    <w:rsid w:val="00111723"/>
    <w:rsid w:val="00111724"/>
    <w:rsid w:val="001119DB"/>
    <w:rsid w:val="00111CD6"/>
    <w:rsid w:val="00111DAA"/>
    <w:rsid w:val="00111E76"/>
    <w:rsid w:val="00111FFB"/>
    <w:rsid w:val="00112094"/>
    <w:rsid w:val="001122FF"/>
    <w:rsid w:val="0011252A"/>
    <w:rsid w:val="00112598"/>
    <w:rsid w:val="001129B5"/>
    <w:rsid w:val="00112A90"/>
    <w:rsid w:val="00112BE6"/>
    <w:rsid w:val="00112C7B"/>
    <w:rsid w:val="0011314E"/>
    <w:rsid w:val="001135C7"/>
    <w:rsid w:val="001135D8"/>
    <w:rsid w:val="0011393E"/>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70C"/>
    <w:rsid w:val="001158E3"/>
    <w:rsid w:val="00115918"/>
    <w:rsid w:val="0011600A"/>
    <w:rsid w:val="00116066"/>
    <w:rsid w:val="001163EF"/>
    <w:rsid w:val="00116910"/>
    <w:rsid w:val="00116A4A"/>
    <w:rsid w:val="00116A86"/>
    <w:rsid w:val="00116B24"/>
    <w:rsid w:val="00116E65"/>
    <w:rsid w:val="0011700E"/>
    <w:rsid w:val="00117969"/>
    <w:rsid w:val="00117A39"/>
    <w:rsid w:val="00117C85"/>
    <w:rsid w:val="0012017B"/>
    <w:rsid w:val="00120189"/>
    <w:rsid w:val="0012020F"/>
    <w:rsid w:val="00120AD2"/>
    <w:rsid w:val="00120B13"/>
    <w:rsid w:val="00120DEB"/>
    <w:rsid w:val="001215E1"/>
    <w:rsid w:val="0012176B"/>
    <w:rsid w:val="001217CE"/>
    <w:rsid w:val="001219D6"/>
    <w:rsid w:val="00121BBC"/>
    <w:rsid w:val="00121EC8"/>
    <w:rsid w:val="00121F6E"/>
    <w:rsid w:val="0012253D"/>
    <w:rsid w:val="00122BAD"/>
    <w:rsid w:val="00122CD7"/>
    <w:rsid w:val="00122F42"/>
    <w:rsid w:val="00123960"/>
    <w:rsid w:val="00123A58"/>
    <w:rsid w:val="00123D1F"/>
    <w:rsid w:val="00123E5A"/>
    <w:rsid w:val="001240A8"/>
    <w:rsid w:val="0012444F"/>
    <w:rsid w:val="001248A3"/>
    <w:rsid w:val="0012494E"/>
    <w:rsid w:val="00124A79"/>
    <w:rsid w:val="00124C78"/>
    <w:rsid w:val="00124D5D"/>
    <w:rsid w:val="00124D84"/>
    <w:rsid w:val="00124E9A"/>
    <w:rsid w:val="0012507A"/>
    <w:rsid w:val="001250DD"/>
    <w:rsid w:val="001254E8"/>
    <w:rsid w:val="00125733"/>
    <w:rsid w:val="00125D3F"/>
    <w:rsid w:val="00125DFD"/>
    <w:rsid w:val="001263AA"/>
    <w:rsid w:val="0012642F"/>
    <w:rsid w:val="001264A9"/>
    <w:rsid w:val="00126839"/>
    <w:rsid w:val="00126929"/>
    <w:rsid w:val="00126C73"/>
    <w:rsid w:val="00126D14"/>
    <w:rsid w:val="00127860"/>
    <w:rsid w:val="00127948"/>
    <w:rsid w:val="001279DC"/>
    <w:rsid w:val="00127DA4"/>
    <w:rsid w:val="00127DFA"/>
    <w:rsid w:val="00127E5E"/>
    <w:rsid w:val="001301AD"/>
    <w:rsid w:val="00130318"/>
    <w:rsid w:val="00130690"/>
    <w:rsid w:val="00130742"/>
    <w:rsid w:val="00130779"/>
    <w:rsid w:val="001307A1"/>
    <w:rsid w:val="00130808"/>
    <w:rsid w:val="00130D1C"/>
    <w:rsid w:val="00131980"/>
    <w:rsid w:val="00131B77"/>
    <w:rsid w:val="00131B95"/>
    <w:rsid w:val="00131D19"/>
    <w:rsid w:val="00131E4D"/>
    <w:rsid w:val="00131EC5"/>
    <w:rsid w:val="00131EE9"/>
    <w:rsid w:val="0013200A"/>
    <w:rsid w:val="0013205D"/>
    <w:rsid w:val="001321D3"/>
    <w:rsid w:val="00132227"/>
    <w:rsid w:val="001322FC"/>
    <w:rsid w:val="00132375"/>
    <w:rsid w:val="001323D4"/>
    <w:rsid w:val="00132774"/>
    <w:rsid w:val="00132969"/>
    <w:rsid w:val="00133055"/>
    <w:rsid w:val="001332B2"/>
    <w:rsid w:val="00133547"/>
    <w:rsid w:val="00133567"/>
    <w:rsid w:val="00133599"/>
    <w:rsid w:val="0013382E"/>
    <w:rsid w:val="0013384B"/>
    <w:rsid w:val="00133AE3"/>
    <w:rsid w:val="00133B18"/>
    <w:rsid w:val="00133BF7"/>
    <w:rsid w:val="00133C97"/>
    <w:rsid w:val="00134552"/>
    <w:rsid w:val="0013467C"/>
    <w:rsid w:val="00134779"/>
    <w:rsid w:val="0013490E"/>
    <w:rsid w:val="00134ADE"/>
    <w:rsid w:val="00134B88"/>
    <w:rsid w:val="00134F08"/>
    <w:rsid w:val="00134F64"/>
    <w:rsid w:val="00134F65"/>
    <w:rsid w:val="00135188"/>
    <w:rsid w:val="001357A1"/>
    <w:rsid w:val="00135A5E"/>
    <w:rsid w:val="00135D09"/>
    <w:rsid w:val="00135D5B"/>
    <w:rsid w:val="00135E4B"/>
    <w:rsid w:val="001360E1"/>
    <w:rsid w:val="0013628E"/>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191"/>
    <w:rsid w:val="0014132D"/>
    <w:rsid w:val="0014133D"/>
    <w:rsid w:val="0014159C"/>
    <w:rsid w:val="0014163A"/>
    <w:rsid w:val="00141936"/>
    <w:rsid w:val="0014211A"/>
    <w:rsid w:val="001421C0"/>
    <w:rsid w:val="00142665"/>
    <w:rsid w:val="00142810"/>
    <w:rsid w:val="001428B0"/>
    <w:rsid w:val="00142C42"/>
    <w:rsid w:val="001430AB"/>
    <w:rsid w:val="00143581"/>
    <w:rsid w:val="0014384A"/>
    <w:rsid w:val="00144040"/>
    <w:rsid w:val="001444EB"/>
    <w:rsid w:val="0014450F"/>
    <w:rsid w:val="001445BA"/>
    <w:rsid w:val="001449A0"/>
    <w:rsid w:val="00144B5B"/>
    <w:rsid w:val="00144BDA"/>
    <w:rsid w:val="00144D3B"/>
    <w:rsid w:val="00144D8F"/>
    <w:rsid w:val="00144FDA"/>
    <w:rsid w:val="001450CF"/>
    <w:rsid w:val="00145317"/>
    <w:rsid w:val="001455CF"/>
    <w:rsid w:val="001459D5"/>
    <w:rsid w:val="00145C20"/>
    <w:rsid w:val="00145C74"/>
    <w:rsid w:val="00145FF2"/>
    <w:rsid w:val="00146017"/>
    <w:rsid w:val="00146141"/>
    <w:rsid w:val="001462E9"/>
    <w:rsid w:val="001462F4"/>
    <w:rsid w:val="00146310"/>
    <w:rsid w:val="001465DC"/>
    <w:rsid w:val="00146622"/>
    <w:rsid w:val="001466B5"/>
    <w:rsid w:val="00146A41"/>
    <w:rsid w:val="00146BB8"/>
    <w:rsid w:val="00146BDC"/>
    <w:rsid w:val="00146E32"/>
    <w:rsid w:val="00146FE2"/>
    <w:rsid w:val="001471B3"/>
    <w:rsid w:val="001472AB"/>
    <w:rsid w:val="00147363"/>
    <w:rsid w:val="00147614"/>
    <w:rsid w:val="00147873"/>
    <w:rsid w:val="00147B77"/>
    <w:rsid w:val="00147C76"/>
    <w:rsid w:val="00147E3F"/>
    <w:rsid w:val="001500E9"/>
    <w:rsid w:val="00150199"/>
    <w:rsid w:val="001504F5"/>
    <w:rsid w:val="00150D79"/>
    <w:rsid w:val="00150E01"/>
    <w:rsid w:val="0015104F"/>
    <w:rsid w:val="00151387"/>
    <w:rsid w:val="001513E5"/>
    <w:rsid w:val="001514DB"/>
    <w:rsid w:val="00151619"/>
    <w:rsid w:val="001516E4"/>
    <w:rsid w:val="0015188A"/>
    <w:rsid w:val="00152170"/>
    <w:rsid w:val="001522FA"/>
    <w:rsid w:val="001524D2"/>
    <w:rsid w:val="00152501"/>
    <w:rsid w:val="0015258B"/>
    <w:rsid w:val="00152835"/>
    <w:rsid w:val="00152878"/>
    <w:rsid w:val="00152EE2"/>
    <w:rsid w:val="00152F7A"/>
    <w:rsid w:val="00153010"/>
    <w:rsid w:val="00153089"/>
    <w:rsid w:val="001530EA"/>
    <w:rsid w:val="00153151"/>
    <w:rsid w:val="00153159"/>
    <w:rsid w:val="001531CB"/>
    <w:rsid w:val="0015349F"/>
    <w:rsid w:val="00153CB1"/>
    <w:rsid w:val="001540A4"/>
    <w:rsid w:val="001544EF"/>
    <w:rsid w:val="001548F4"/>
    <w:rsid w:val="00154E0F"/>
    <w:rsid w:val="00155174"/>
    <w:rsid w:val="00155450"/>
    <w:rsid w:val="001557FF"/>
    <w:rsid w:val="00155820"/>
    <w:rsid w:val="001559FA"/>
    <w:rsid w:val="00155A38"/>
    <w:rsid w:val="00155BAF"/>
    <w:rsid w:val="001561AB"/>
    <w:rsid w:val="0015623C"/>
    <w:rsid w:val="001562A2"/>
    <w:rsid w:val="00156374"/>
    <w:rsid w:val="0015640E"/>
    <w:rsid w:val="001566E0"/>
    <w:rsid w:val="00156736"/>
    <w:rsid w:val="001569B5"/>
    <w:rsid w:val="00156B11"/>
    <w:rsid w:val="00156B8E"/>
    <w:rsid w:val="00156BE8"/>
    <w:rsid w:val="00156C60"/>
    <w:rsid w:val="00156CCB"/>
    <w:rsid w:val="0015732D"/>
    <w:rsid w:val="0015755B"/>
    <w:rsid w:val="00157602"/>
    <w:rsid w:val="0015770F"/>
    <w:rsid w:val="001577D8"/>
    <w:rsid w:val="001578A9"/>
    <w:rsid w:val="00157A7F"/>
    <w:rsid w:val="00157E80"/>
    <w:rsid w:val="00157FC3"/>
    <w:rsid w:val="00157FDC"/>
    <w:rsid w:val="00160193"/>
    <w:rsid w:val="00160196"/>
    <w:rsid w:val="001601D8"/>
    <w:rsid w:val="00160271"/>
    <w:rsid w:val="0016072A"/>
    <w:rsid w:val="00160739"/>
    <w:rsid w:val="00160B23"/>
    <w:rsid w:val="00160B7D"/>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62"/>
    <w:rsid w:val="001677F8"/>
    <w:rsid w:val="00167819"/>
    <w:rsid w:val="00167844"/>
    <w:rsid w:val="00167D8B"/>
    <w:rsid w:val="001700E2"/>
    <w:rsid w:val="00170199"/>
    <w:rsid w:val="001703AE"/>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B82"/>
    <w:rsid w:val="00172CCB"/>
    <w:rsid w:val="00172DD5"/>
    <w:rsid w:val="00172DF2"/>
    <w:rsid w:val="00172E22"/>
    <w:rsid w:val="00172ED1"/>
    <w:rsid w:val="00172EFA"/>
    <w:rsid w:val="001730B3"/>
    <w:rsid w:val="00173608"/>
    <w:rsid w:val="001737C6"/>
    <w:rsid w:val="00173800"/>
    <w:rsid w:val="00173970"/>
    <w:rsid w:val="00173CDC"/>
    <w:rsid w:val="00173D57"/>
    <w:rsid w:val="001740F1"/>
    <w:rsid w:val="0017415C"/>
    <w:rsid w:val="0017428A"/>
    <w:rsid w:val="001745C1"/>
    <w:rsid w:val="001745EC"/>
    <w:rsid w:val="001747B7"/>
    <w:rsid w:val="00174A90"/>
    <w:rsid w:val="00174BFB"/>
    <w:rsid w:val="00175662"/>
    <w:rsid w:val="0017595F"/>
    <w:rsid w:val="00175971"/>
    <w:rsid w:val="001759EF"/>
    <w:rsid w:val="00175AEC"/>
    <w:rsid w:val="00175C30"/>
    <w:rsid w:val="0017608D"/>
    <w:rsid w:val="0017615A"/>
    <w:rsid w:val="00176253"/>
    <w:rsid w:val="00176349"/>
    <w:rsid w:val="001766C2"/>
    <w:rsid w:val="0017694D"/>
    <w:rsid w:val="00176D42"/>
    <w:rsid w:val="00176EA0"/>
    <w:rsid w:val="00177069"/>
    <w:rsid w:val="00177387"/>
    <w:rsid w:val="001774C4"/>
    <w:rsid w:val="001775B6"/>
    <w:rsid w:val="00177A26"/>
    <w:rsid w:val="00177B3F"/>
    <w:rsid w:val="00177C2C"/>
    <w:rsid w:val="00177E22"/>
    <w:rsid w:val="00177FC1"/>
    <w:rsid w:val="0018034F"/>
    <w:rsid w:val="0018052F"/>
    <w:rsid w:val="00180AC5"/>
    <w:rsid w:val="00180CCB"/>
    <w:rsid w:val="00181109"/>
    <w:rsid w:val="001811B9"/>
    <w:rsid w:val="0018147F"/>
    <w:rsid w:val="001815A2"/>
    <w:rsid w:val="00181A61"/>
    <w:rsid w:val="00181B0E"/>
    <w:rsid w:val="00181C36"/>
    <w:rsid w:val="00181DA1"/>
    <w:rsid w:val="00181E0D"/>
    <w:rsid w:val="00181F20"/>
    <w:rsid w:val="00181FC1"/>
    <w:rsid w:val="00181FE4"/>
    <w:rsid w:val="001824CD"/>
    <w:rsid w:val="001826C5"/>
    <w:rsid w:val="00182F93"/>
    <w:rsid w:val="00183015"/>
    <w:rsid w:val="00183034"/>
    <w:rsid w:val="001830F7"/>
    <w:rsid w:val="001833B3"/>
    <w:rsid w:val="0018342E"/>
    <w:rsid w:val="00183523"/>
    <w:rsid w:val="0018352C"/>
    <w:rsid w:val="001836E6"/>
    <w:rsid w:val="0018370D"/>
    <w:rsid w:val="00183753"/>
    <w:rsid w:val="00183C31"/>
    <w:rsid w:val="00183EE6"/>
    <w:rsid w:val="00184125"/>
    <w:rsid w:val="00184500"/>
    <w:rsid w:val="001845FF"/>
    <w:rsid w:val="0018465C"/>
    <w:rsid w:val="001846C8"/>
    <w:rsid w:val="00184C19"/>
    <w:rsid w:val="00184CD0"/>
    <w:rsid w:val="00184DC4"/>
    <w:rsid w:val="001853E6"/>
    <w:rsid w:val="00185699"/>
    <w:rsid w:val="0018588A"/>
    <w:rsid w:val="00185ACA"/>
    <w:rsid w:val="00185FC3"/>
    <w:rsid w:val="001860FE"/>
    <w:rsid w:val="001861F7"/>
    <w:rsid w:val="001862BC"/>
    <w:rsid w:val="0018636F"/>
    <w:rsid w:val="0018676E"/>
    <w:rsid w:val="001868BB"/>
    <w:rsid w:val="00186C56"/>
    <w:rsid w:val="00186DFD"/>
    <w:rsid w:val="00186E28"/>
    <w:rsid w:val="00186EEB"/>
    <w:rsid w:val="0018722E"/>
    <w:rsid w:val="00187252"/>
    <w:rsid w:val="0018737B"/>
    <w:rsid w:val="0018777F"/>
    <w:rsid w:val="001900C3"/>
    <w:rsid w:val="00190211"/>
    <w:rsid w:val="0019095C"/>
    <w:rsid w:val="00190DE4"/>
    <w:rsid w:val="00191388"/>
    <w:rsid w:val="00191429"/>
    <w:rsid w:val="00191551"/>
    <w:rsid w:val="00191686"/>
    <w:rsid w:val="00191851"/>
    <w:rsid w:val="00191BB0"/>
    <w:rsid w:val="00191C91"/>
    <w:rsid w:val="00191CC2"/>
    <w:rsid w:val="00191E30"/>
    <w:rsid w:val="00192102"/>
    <w:rsid w:val="001925DA"/>
    <w:rsid w:val="0019274E"/>
    <w:rsid w:val="0019293C"/>
    <w:rsid w:val="00192DD9"/>
    <w:rsid w:val="00192F82"/>
    <w:rsid w:val="001931B8"/>
    <w:rsid w:val="0019333A"/>
    <w:rsid w:val="00193411"/>
    <w:rsid w:val="001938AC"/>
    <w:rsid w:val="001938BA"/>
    <w:rsid w:val="00193F1E"/>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AC7"/>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5A"/>
    <w:rsid w:val="00197B84"/>
    <w:rsid w:val="00197C32"/>
    <w:rsid w:val="00197CC8"/>
    <w:rsid w:val="001A0170"/>
    <w:rsid w:val="001A0441"/>
    <w:rsid w:val="001A0691"/>
    <w:rsid w:val="001A0B02"/>
    <w:rsid w:val="001A0E11"/>
    <w:rsid w:val="001A0EB3"/>
    <w:rsid w:val="001A112A"/>
    <w:rsid w:val="001A1180"/>
    <w:rsid w:val="001A125C"/>
    <w:rsid w:val="001A1468"/>
    <w:rsid w:val="001A154B"/>
    <w:rsid w:val="001A180D"/>
    <w:rsid w:val="001A186B"/>
    <w:rsid w:val="001A1BAC"/>
    <w:rsid w:val="001A1CC0"/>
    <w:rsid w:val="001A1D2B"/>
    <w:rsid w:val="001A1F97"/>
    <w:rsid w:val="001A2011"/>
    <w:rsid w:val="001A22F8"/>
    <w:rsid w:val="001A2344"/>
    <w:rsid w:val="001A23CE"/>
    <w:rsid w:val="001A2620"/>
    <w:rsid w:val="001A2767"/>
    <w:rsid w:val="001A2770"/>
    <w:rsid w:val="001A287F"/>
    <w:rsid w:val="001A2C89"/>
    <w:rsid w:val="001A2EEF"/>
    <w:rsid w:val="001A344D"/>
    <w:rsid w:val="001A397C"/>
    <w:rsid w:val="001A3E86"/>
    <w:rsid w:val="001A3F7D"/>
    <w:rsid w:val="001A42FD"/>
    <w:rsid w:val="001A4823"/>
    <w:rsid w:val="001A48C6"/>
    <w:rsid w:val="001A4AFB"/>
    <w:rsid w:val="001A4B6C"/>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FFF"/>
    <w:rsid w:val="001B1025"/>
    <w:rsid w:val="001B115A"/>
    <w:rsid w:val="001B11F1"/>
    <w:rsid w:val="001B13BB"/>
    <w:rsid w:val="001B14E5"/>
    <w:rsid w:val="001B157E"/>
    <w:rsid w:val="001B164C"/>
    <w:rsid w:val="001B16BE"/>
    <w:rsid w:val="001B188B"/>
    <w:rsid w:val="001B1AE0"/>
    <w:rsid w:val="001B1BA5"/>
    <w:rsid w:val="001B1D73"/>
    <w:rsid w:val="001B1FEA"/>
    <w:rsid w:val="001B2371"/>
    <w:rsid w:val="001B2D68"/>
    <w:rsid w:val="001B34A7"/>
    <w:rsid w:val="001B35F6"/>
    <w:rsid w:val="001B378C"/>
    <w:rsid w:val="001B3793"/>
    <w:rsid w:val="001B3964"/>
    <w:rsid w:val="001B3F54"/>
    <w:rsid w:val="001B3F9F"/>
    <w:rsid w:val="001B40C0"/>
    <w:rsid w:val="001B40C3"/>
    <w:rsid w:val="001B4452"/>
    <w:rsid w:val="001B4465"/>
    <w:rsid w:val="001B466C"/>
    <w:rsid w:val="001B4A52"/>
    <w:rsid w:val="001B4A5C"/>
    <w:rsid w:val="001B4F34"/>
    <w:rsid w:val="001B51AF"/>
    <w:rsid w:val="001B52EC"/>
    <w:rsid w:val="001B530C"/>
    <w:rsid w:val="001B5434"/>
    <w:rsid w:val="001B554A"/>
    <w:rsid w:val="001B55B1"/>
    <w:rsid w:val="001B56EC"/>
    <w:rsid w:val="001B5709"/>
    <w:rsid w:val="001B5808"/>
    <w:rsid w:val="001B5CDB"/>
    <w:rsid w:val="001B5E9C"/>
    <w:rsid w:val="001B64B8"/>
    <w:rsid w:val="001B6564"/>
    <w:rsid w:val="001B65AD"/>
    <w:rsid w:val="001B691A"/>
    <w:rsid w:val="001B6F2A"/>
    <w:rsid w:val="001B6F6F"/>
    <w:rsid w:val="001B70B5"/>
    <w:rsid w:val="001B71D5"/>
    <w:rsid w:val="001B74FD"/>
    <w:rsid w:val="001B7718"/>
    <w:rsid w:val="001B7B19"/>
    <w:rsid w:val="001B7CB9"/>
    <w:rsid w:val="001C01E8"/>
    <w:rsid w:val="001C02D8"/>
    <w:rsid w:val="001C04D5"/>
    <w:rsid w:val="001C04E3"/>
    <w:rsid w:val="001C0720"/>
    <w:rsid w:val="001C0C29"/>
    <w:rsid w:val="001C0DD7"/>
    <w:rsid w:val="001C1038"/>
    <w:rsid w:val="001C1080"/>
    <w:rsid w:val="001C10FA"/>
    <w:rsid w:val="001C12E8"/>
    <w:rsid w:val="001C1807"/>
    <w:rsid w:val="001C1B26"/>
    <w:rsid w:val="001C1E0A"/>
    <w:rsid w:val="001C21A9"/>
    <w:rsid w:val="001C2378"/>
    <w:rsid w:val="001C2811"/>
    <w:rsid w:val="001C28F7"/>
    <w:rsid w:val="001C2A2D"/>
    <w:rsid w:val="001C2E20"/>
    <w:rsid w:val="001C2F49"/>
    <w:rsid w:val="001C317F"/>
    <w:rsid w:val="001C331A"/>
    <w:rsid w:val="001C35EC"/>
    <w:rsid w:val="001C371F"/>
    <w:rsid w:val="001C386C"/>
    <w:rsid w:val="001C3C7E"/>
    <w:rsid w:val="001C3EE9"/>
    <w:rsid w:val="001C3FA4"/>
    <w:rsid w:val="001C40F9"/>
    <w:rsid w:val="001C44F1"/>
    <w:rsid w:val="001C456F"/>
    <w:rsid w:val="001C458B"/>
    <w:rsid w:val="001C46E1"/>
    <w:rsid w:val="001C47DB"/>
    <w:rsid w:val="001C4BD1"/>
    <w:rsid w:val="001C4D00"/>
    <w:rsid w:val="001C4E4C"/>
    <w:rsid w:val="001C5714"/>
    <w:rsid w:val="001C5899"/>
    <w:rsid w:val="001C5962"/>
    <w:rsid w:val="001C59D4"/>
    <w:rsid w:val="001C5A3F"/>
    <w:rsid w:val="001C5A99"/>
    <w:rsid w:val="001C5B64"/>
    <w:rsid w:val="001C5B89"/>
    <w:rsid w:val="001C5CE6"/>
    <w:rsid w:val="001C5D4F"/>
    <w:rsid w:val="001C625C"/>
    <w:rsid w:val="001C646F"/>
    <w:rsid w:val="001C64C0"/>
    <w:rsid w:val="001C69DA"/>
    <w:rsid w:val="001C6B38"/>
    <w:rsid w:val="001C6CBF"/>
    <w:rsid w:val="001C6EC2"/>
    <w:rsid w:val="001C6F06"/>
    <w:rsid w:val="001C6F0E"/>
    <w:rsid w:val="001C703D"/>
    <w:rsid w:val="001C71BC"/>
    <w:rsid w:val="001C71E9"/>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5C4"/>
    <w:rsid w:val="001D1698"/>
    <w:rsid w:val="001D16CF"/>
    <w:rsid w:val="001D183E"/>
    <w:rsid w:val="001D1AC4"/>
    <w:rsid w:val="001D2030"/>
    <w:rsid w:val="001D2360"/>
    <w:rsid w:val="001D267E"/>
    <w:rsid w:val="001D2742"/>
    <w:rsid w:val="001D2841"/>
    <w:rsid w:val="001D284A"/>
    <w:rsid w:val="001D293F"/>
    <w:rsid w:val="001D2B86"/>
    <w:rsid w:val="001D2DA0"/>
    <w:rsid w:val="001D3046"/>
    <w:rsid w:val="001D3109"/>
    <w:rsid w:val="001D3130"/>
    <w:rsid w:val="001D31E6"/>
    <w:rsid w:val="001D3294"/>
    <w:rsid w:val="001D332E"/>
    <w:rsid w:val="001D3AED"/>
    <w:rsid w:val="001D3F19"/>
    <w:rsid w:val="001D41B3"/>
    <w:rsid w:val="001D4336"/>
    <w:rsid w:val="001D4354"/>
    <w:rsid w:val="001D4587"/>
    <w:rsid w:val="001D4C30"/>
    <w:rsid w:val="001D4DB8"/>
    <w:rsid w:val="001D4EF7"/>
    <w:rsid w:val="001D5033"/>
    <w:rsid w:val="001D51FA"/>
    <w:rsid w:val="001D5BFE"/>
    <w:rsid w:val="001D5C88"/>
    <w:rsid w:val="001D5D90"/>
    <w:rsid w:val="001D5EE6"/>
    <w:rsid w:val="001D610E"/>
    <w:rsid w:val="001D6161"/>
    <w:rsid w:val="001D619A"/>
    <w:rsid w:val="001D622B"/>
    <w:rsid w:val="001D627E"/>
    <w:rsid w:val="001D6442"/>
    <w:rsid w:val="001D6567"/>
    <w:rsid w:val="001D695C"/>
    <w:rsid w:val="001D695D"/>
    <w:rsid w:val="001D69A9"/>
    <w:rsid w:val="001D6A06"/>
    <w:rsid w:val="001D6AB4"/>
    <w:rsid w:val="001D6B2B"/>
    <w:rsid w:val="001D6B5D"/>
    <w:rsid w:val="001D6FD9"/>
    <w:rsid w:val="001D72EB"/>
    <w:rsid w:val="001D751F"/>
    <w:rsid w:val="001D780E"/>
    <w:rsid w:val="001D7BCC"/>
    <w:rsid w:val="001D7E3F"/>
    <w:rsid w:val="001D7F3E"/>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1F8"/>
    <w:rsid w:val="001E12AE"/>
    <w:rsid w:val="001E173B"/>
    <w:rsid w:val="001E18BE"/>
    <w:rsid w:val="001E1EF6"/>
    <w:rsid w:val="001E202B"/>
    <w:rsid w:val="001E2486"/>
    <w:rsid w:val="001E2494"/>
    <w:rsid w:val="001E27D0"/>
    <w:rsid w:val="001E2806"/>
    <w:rsid w:val="001E2BF7"/>
    <w:rsid w:val="001E3019"/>
    <w:rsid w:val="001E3058"/>
    <w:rsid w:val="001E30DE"/>
    <w:rsid w:val="001E31B7"/>
    <w:rsid w:val="001E34D1"/>
    <w:rsid w:val="001E35FF"/>
    <w:rsid w:val="001E36E4"/>
    <w:rsid w:val="001E371D"/>
    <w:rsid w:val="001E3751"/>
    <w:rsid w:val="001E379D"/>
    <w:rsid w:val="001E37D6"/>
    <w:rsid w:val="001E37D8"/>
    <w:rsid w:val="001E3A3C"/>
    <w:rsid w:val="001E3B30"/>
    <w:rsid w:val="001E3C6A"/>
    <w:rsid w:val="001E40EE"/>
    <w:rsid w:val="001E45EA"/>
    <w:rsid w:val="001E46C4"/>
    <w:rsid w:val="001E47C5"/>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6E"/>
    <w:rsid w:val="001E64D2"/>
    <w:rsid w:val="001E6830"/>
    <w:rsid w:val="001E69AD"/>
    <w:rsid w:val="001E6E30"/>
    <w:rsid w:val="001E6E4D"/>
    <w:rsid w:val="001E6E4E"/>
    <w:rsid w:val="001E7014"/>
    <w:rsid w:val="001E7336"/>
    <w:rsid w:val="001E7438"/>
    <w:rsid w:val="001E7479"/>
    <w:rsid w:val="001E7504"/>
    <w:rsid w:val="001E7568"/>
    <w:rsid w:val="001E76DF"/>
    <w:rsid w:val="001E780D"/>
    <w:rsid w:val="001E7A15"/>
    <w:rsid w:val="001E7A77"/>
    <w:rsid w:val="001E7ABF"/>
    <w:rsid w:val="001E7AF8"/>
    <w:rsid w:val="001E7FAA"/>
    <w:rsid w:val="001F0446"/>
    <w:rsid w:val="001F0921"/>
    <w:rsid w:val="001F0ADA"/>
    <w:rsid w:val="001F110A"/>
    <w:rsid w:val="001F12EE"/>
    <w:rsid w:val="001F1308"/>
    <w:rsid w:val="001F13E7"/>
    <w:rsid w:val="001F14F7"/>
    <w:rsid w:val="001F1525"/>
    <w:rsid w:val="001F19B3"/>
    <w:rsid w:val="001F1D28"/>
    <w:rsid w:val="001F1D89"/>
    <w:rsid w:val="001F1E82"/>
    <w:rsid w:val="001F1E87"/>
    <w:rsid w:val="001F1EA6"/>
    <w:rsid w:val="001F1EB6"/>
    <w:rsid w:val="001F1F5C"/>
    <w:rsid w:val="001F1FA2"/>
    <w:rsid w:val="001F21FB"/>
    <w:rsid w:val="001F2463"/>
    <w:rsid w:val="001F29EB"/>
    <w:rsid w:val="001F2BB3"/>
    <w:rsid w:val="001F2BEF"/>
    <w:rsid w:val="001F2E23"/>
    <w:rsid w:val="001F2EC5"/>
    <w:rsid w:val="001F2F06"/>
    <w:rsid w:val="001F2F81"/>
    <w:rsid w:val="001F341F"/>
    <w:rsid w:val="001F35A1"/>
    <w:rsid w:val="001F3631"/>
    <w:rsid w:val="001F3693"/>
    <w:rsid w:val="001F3795"/>
    <w:rsid w:val="001F3911"/>
    <w:rsid w:val="001F39F7"/>
    <w:rsid w:val="001F3B53"/>
    <w:rsid w:val="001F3CF8"/>
    <w:rsid w:val="001F3E7D"/>
    <w:rsid w:val="001F3F1A"/>
    <w:rsid w:val="001F432B"/>
    <w:rsid w:val="001F43BC"/>
    <w:rsid w:val="001F44A1"/>
    <w:rsid w:val="001F4913"/>
    <w:rsid w:val="001F4B71"/>
    <w:rsid w:val="001F4CBD"/>
    <w:rsid w:val="001F4F56"/>
    <w:rsid w:val="001F4F98"/>
    <w:rsid w:val="001F508B"/>
    <w:rsid w:val="001F5517"/>
    <w:rsid w:val="001F5545"/>
    <w:rsid w:val="001F5777"/>
    <w:rsid w:val="001F5937"/>
    <w:rsid w:val="001F59E3"/>
    <w:rsid w:val="001F59ED"/>
    <w:rsid w:val="001F5A6E"/>
    <w:rsid w:val="001F5AE5"/>
    <w:rsid w:val="001F5CD0"/>
    <w:rsid w:val="001F5D85"/>
    <w:rsid w:val="001F5DF6"/>
    <w:rsid w:val="001F608C"/>
    <w:rsid w:val="001F66EA"/>
    <w:rsid w:val="001F6872"/>
    <w:rsid w:val="001F68BB"/>
    <w:rsid w:val="001F6CF5"/>
    <w:rsid w:val="001F6F07"/>
    <w:rsid w:val="001F709D"/>
    <w:rsid w:val="001F70C3"/>
    <w:rsid w:val="001F7121"/>
    <w:rsid w:val="001F72A8"/>
    <w:rsid w:val="001F746C"/>
    <w:rsid w:val="001F76A6"/>
    <w:rsid w:val="001F7B4D"/>
    <w:rsid w:val="001F7F47"/>
    <w:rsid w:val="00200003"/>
    <w:rsid w:val="002001AA"/>
    <w:rsid w:val="00200247"/>
    <w:rsid w:val="002004EF"/>
    <w:rsid w:val="00200502"/>
    <w:rsid w:val="002006B0"/>
    <w:rsid w:val="00200BCF"/>
    <w:rsid w:val="00200D2C"/>
    <w:rsid w:val="00200F69"/>
    <w:rsid w:val="002012D5"/>
    <w:rsid w:val="002014DC"/>
    <w:rsid w:val="002017D7"/>
    <w:rsid w:val="002019D8"/>
    <w:rsid w:val="00201CA4"/>
    <w:rsid w:val="00201E7C"/>
    <w:rsid w:val="00201EC7"/>
    <w:rsid w:val="00201F03"/>
    <w:rsid w:val="00202053"/>
    <w:rsid w:val="00202507"/>
    <w:rsid w:val="00202550"/>
    <w:rsid w:val="0020278C"/>
    <w:rsid w:val="0020287D"/>
    <w:rsid w:val="002029D2"/>
    <w:rsid w:val="00202BE7"/>
    <w:rsid w:val="00202D59"/>
    <w:rsid w:val="00202E2F"/>
    <w:rsid w:val="0020349A"/>
    <w:rsid w:val="002034B4"/>
    <w:rsid w:val="00203593"/>
    <w:rsid w:val="00203621"/>
    <w:rsid w:val="00203782"/>
    <w:rsid w:val="0020384A"/>
    <w:rsid w:val="00203852"/>
    <w:rsid w:val="002038AE"/>
    <w:rsid w:val="00203983"/>
    <w:rsid w:val="00203D9C"/>
    <w:rsid w:val="00203E51"/>
    <w:rsid w:val="00203F3A"/>
    <w:rsid w:val="00203F57"/>
    <w:rsid w:val="00204032"/>
    <w:rsid w:val="00204755"/>
    <w:rsid w:val="00204792"/>
    <w:rsid w:val="0020491B"/>
    <w:rsid w:val="0020493A"/>
    <w:rsid w:val="00204BAD"/>
    <w:rsid w:val="00204C69"/>
    <w:rsid w:val="00204D60"/>
    <w:rsid w:val="00204F48"/>
    <w:rsid w:val="00205627"/>
    <w:rsid w:val="00205641"/>
    <w:rsid w:val="00205685"/>
    <w:rsid w:val="002056D0"/>
    <w:rsid w:val="0020595A"/>
    <w:rsid w:val="002059BC"/>
    <w:rsid w:val="002059C5"/>
    <w:rsid w:val="002061B9"/>
    <w:rsid w:val="002061E0"/>
    <w:rsid w:val="0020636C"/>
    <w:rsid w:val="00206438"/>
    <w:rsid w:val="00206AC5"/>
    <w:rsid w:val="00206B19"/>
    <w:rsid w:val="00206C98"/>
    <w:rsid w:val="00206EB3"/>
    <w:rsid w:val="00207225"/>
    <w:rsid w:val="00207437"/>
    <w:rsid w:val="00207488"/>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1D60"/>
    <w:rsid w:val="002120DC"/>
    <w:rsid w:val="002123F5"/>
    <w:rsid w:val="002125BE"/>
    <w:rsid w:val="002129DE"/>
    <w:rsid w:val="00212C56"/>
    <w:rsid w:val="00212C67"/>
    <w:rsid w:val="00212CB6"/>
    <w:rsid w:val="00212E37"/>
    <w:rsid w:val="00212F61"/>
    <w:rsid w:val="00212FA6"/>
    <w:rsid w:val="00213669"/>
    <w:rsid w:val="00213FB7"/>
    <w:rsid w:val="002140FF"/>
    <w:rsid w:val="00214206"/>
    <w:rsid w:val="00214280"/>
    <w:rsid w:val="00214321"/>
    <w:rsid w:val="0021468A"/>
    <w:rsid w:val="002149F0"/>
    <w:rsid w:val="00214AB1"/>
    <w:rsid w:val="00214D23"/>
    <w:rsid w:val="00214EF5"/>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891"/>
    <w:rsid w:val="00220894"/>
    <w:rsid w:val="00220CAD"/>
    <w:rsid w:val="00220FE8"/>
    <w:rsid w:val="00221000"/>
    <w:rsid w:val="00221195"/>
    <w:rsid w:val="002214D5"/>
    <w:rsid w:val="00221AAE"/>
    <w:rsid w:val="00221AC1"/>
    <w:rsid w:val="002223BF"/>
    <w:rsid w:val="00222509"/>
    <w:rsid w:val="002226F9"/>
    <w:rsid w:val="002229AF"/>
    <w:rsid w:val="00222B7B"/>
    <w:rsid w:val="002231E4"/>
    <w:rsid w:val="002231E5"/>
    <w:rsid w:val="002232F0"/>
    <w:rsid w:val="002235D7"/>
    <w:rsid w:val="00223B15"/>
    <w:rsid w:val="00223C2E"/>
    <w:rsid w:val="00223E18"/>
    <w:rsid w:val="00223FB1"/>
    <w:rsid w:val="002243C0"/>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21F"/>
    <w:rsid w:val="002264C3"/>
    <w:rsid w:val="0022652E"/>
    <w:rsid w:val="002266B5"/>
    <w:rsid w:val="002266C0"/>
    <w:rsid w:val="002266F0"/>
    <w:rsid w:val="00226750"/>
    <w:rsid w:val="002267F8"/>
    <w:rsid w:val="00226895"/>
    <w:rsid w:val="00226899"/>
    <w:rsid w:val="00226A2B"/>
    <w:rsid w:val="00226AFB"/>
    <w:rsid w:val="00226CE5"/>
    <w:rsid w:val="00226DE2"/>
    <w:rsid w:val="00226EA8"/>
    <w:rsid w:val="002271B5"/>
    <w:rsid w:val="00227524"/>
    <w:rsid w:val="00227659"/>
    <w:rsid w:val="002279D2"/>
    <w:rsid w:val="00227B2B"/>
    <w:rsid w:val="0023021C"/>
    <w:rsid w:val="0023087D"/>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5BD"/>
    <w:rsid w:val="00232938"/>
    <w:rsid w:val="00232A90"/>
    <w:rsid w:val="00232AA3"/>
    <w:rsid w:val="002334C8"/>
    <w:rsid w:val="002336A7"/>
    <w:rsid w:val="002339E2"/>
    <w:rsid w:val="00233A79"/>
    <w:rsid w:val="00233CA5"/>
    <w:rsid w:val="00233DE5"/>
    <w:rsid w:val="0023407C"/>
    <w:rsid w:val="002340BB"/>
    <w:rsid w:val="00234151"/>
    <w:rsid w:val="00234200"/>
    <w:rsid w:val="0023429B"/>
    <w:rsid w:val="00234397"/>
    <w:rsid w:val="002344C0"/>
    <w:rsid w:val="002344C1"/>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49A"/>
    <w:rsid w:val="002367A9"/>
    <w:rsid w:val="0023699E"/>
    <w:rsid w:val="002369B0"/>
    <w:rsid w:val="00236AD8"/>
    <w:rsid w:val="00236CC2"/>
    <w:rsid w:val="00236DA1"/>
    <w:rsid w:val="00236DED"/>
    <w:rsid w:val="0023715C"/>
    <w:rsid w:val="00237250"/>
    <w:rsid w:val="00237342"/>
    <w:rsid w:val="002377D0"/>
    <w:rsid w:val="0023791D"/>
    <w:rsid w:val="002379A3"/>
    <w:rsid w:val="00237A29"/>
    <w:rsid w:val="00237C03"/>
    <w:rsid w:val="00237E7C"/>
    <w:rsid w:val="00240110"/>
    <w:rsid w:val="002401F5"/>
    <w:rsid w:val="00240449"/>
    <w:rsid w:val="002408E2"/>
    <w:rsid w:val="00240A7D"/>
    <w:rsid w:val="00240E54"/>
    <w:rsid w:val="00241125"/>
    <w:rsid w:val="00241237"/>
    <w:rsid w:val="002412E2"/>
    <w:rsid w:val="00241376"/>
    <w:rsid w:val="002418D1"/>
    <w:rsid w:val="00241B06"/>
    <w:rsid w:val="00241BE9"/>
    <w:rsid w:val="002428A2"/>
    <w:rsid w:val="00242C31"/>
    <w:rsid w:val="00243143"/>
    <w:rsid w:val="0024338C"/>
    <w:rsid w:val="00243510"/>
    <w:rsid w:val="0024355F"/>
    <w:rsid w:val="0024368E"/>
    <w:rsid w:val="00243795"/>
    <w:rsid w:val="00243806"/>
    <w:rsid w:val="002439C1"/>
    <w:rsid w:val="00243A39"/>
    <w:rsid w:val="00243B90"/>
    <w:rsid w:val="00243C19"/>
    <w:rsid w:val="00243D15"/>
    <w:rsid w:val="00243FDE"/>
    <w:rsid w:val="002447F3"/>
    <w:rsid w:val="002448F6"/>
    <w:rsid w:val="00244A98"/>
    <w:rsid w:val="00244F3F"/>
    <w:rsid w:val="0024511F"/>
    <w:rsid w:val="002451C5"/>
    <w:rsid w:val="002451D3"/>
    <w:rsid w:val="0024523A"/>
    <w:rsid w:val="002452DF"/>
    <w:rsid w:val="00245552"/>
    <w:rsid w:val="0024565C"/>
    <w:rsid w:val="002458DB"/>
    <w:rsid w:val="00245A05"/>
    <w:rsid w:val="00245A90"/>
    <w:rsid w:val="00245AF7"/>
    <w:rsid w:val="00245D5A"/>
    <w:rsid w:val="00245E93"/>
    <w:rsid w:val="00245EFF"/>
    <w:rsid w:val="00245F1F"/>
    <w:rsid w:val="0024647F"/>
    <w:rsid w:val="0024663B"/>
    <w:rsid w:val="0024691D"/>
    <w:rsid w:val="00246975"/>
    <w:rsid w:val="002470C3"/>
    <w:rsid w:val="00247103"/>
    <w:rsid w:val="0024713B"/>
    <w:rsid w:val="0024790E"/>
    <w:rsid w:val="002479A4"/>
    <w:rsid w:val="00247B5D"/>
    <w:rsid w:val="00247C44"/>
    <w:rsid w:val="00250067"/>
    <w:rsid w:val="002503F0"/>
    <w:rsid w:val="00250478"/>
    <w:rsid w:val="00250818"/>
    <w:rsid w:val="00250C16"/>
    <w:rsid w:val="00251172"/>
    <w:rsid w:val="002511CE"/>
    <w:rsid w:val="00251478"/>
    <w:rsid w:val="00251541"/>
    <w:rsid w:val="002516DE"/>
    <w:rsid w:val="00251730"/>
    <w:rsid w:val="00251ABA"/>
    <w:rsid w:val="00251E1C"/>
    <w:rsid w:val="00251E44"/>
    <w:rsid w:val="00251F81"/>
    <w:rsid w:val="00251FB9"/>
    <w:rsid w:val="002520FC"/>
    <w:rsid w:val="002524A1"/>
    <w:rsid w:val="002527F4"/>
    <w:rsid w:val="00252ADD"/>
    <w:rsid w:val="00252BE0"/>
    <w:rsid w:val="00253180"/>
    <w:rsid w:val="002532E1"/>
    <w:rsid w:val="00253583"/>
    <w:rsid w:val="00253588"/>
    <w:rsid w:val="002540AE"/>
    <w:rsid w:val="002540BD"/>
    <w:rsid w:val="00254131"/>
    <w:rsid w:val="002544F7"/>
    <w:rsid w:val="00254606"/>
    <w:rsid w:val="002546A6"/>
    <w:rsid w:val="002546F4"/>
    <w:rsid w:val="0025485C"/>
    <w:rsid w:val="0025499E"/>
    <w:rsid w:val="00254A6D"/>
    <w:rsid w:val="00254B9C"/>
    <w:rsid w:val="00254E88"/>
    <w:rsid w:val="00254FAC"/>
    <w:rsid w:val="002551D0"/>
    <w:rsid w:val="00255374"/>
    <w:rsid w:val="00255502"/>
    <w:rsid w:val="00255BCC"/>
    <w:rsid w:val="00255C12"/>
    <w:rsid w:val="00255DA0"/>
    <w:rsid w:val="00255DD3"/>
    <w:rsid w:val="002562DA"/>
    <w:rsid w:val="00256535"/>
    <w:rsid w:val="00256549"/>
    <w:rsid w:val="0025683F"/>
    <w:rsid w:val="002569EC"/>
    <w:rsid w:val="00256EAF"/>
    <w:rsid w:val="00257012"/>
    <w:rsid w:val="0025713B"/>
    <w:rsid w:val="0025752A"/>
    <w:rsid w:val="0025778E"/>
    <w:rsid w:val="00257809"/>
    <w:rsid w:val="00257BF4"/>
    <w:rsid w:val="00257DAD"/>
    <w:rsid w:val="00257DB9"/>
    <w:rsid w:val="00257ED9"/>
    <w:rsid w:val="00257F8F"/>
    <w:rsid w:val="00260003"/>
    <w:rsid w:val="0026024E"/>
    <w:rsid w:val="0026035D"/>
    <w:rsid w:val="00260576"/>
    <w:rsid w:val="002606D6"/>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6F1"/>
    <w:rsid w:val="0026289F"/>
    <w:rsid w:val="00262914"/>
    <w:rsid w:val="00262A3F"/>
    <w:rsid w:val="00262BC9"/>
    <w:rsid w:val="00262BFE"/>
    <w:rsid w:val="00262C81"/>
    <w:rsid w:val="00262D2C"/>
    <w:rsid w:val="00263153"/>
    <w:rsid w:val="002632C0"/>
    <w:rsid w:val="002632D4"/>
    <w:rsid w:val="00263352"/>
    <w:rsid w:val="002635A5"/>
    <w:rsid w:val="00263881"/>
    <w:rsid w:val="00263891"/>
    <w:rsid w:val="00263A5B"/>
    <w:rsid w:val="00263B75"/>
    <w:rsid w:val="00264181"/>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C54"/>
    <w:rsid w:val="00265D23"/>
    <w:rsid w:val="002662B2"/>
    <w:rsid w:val="00266307"/>
    <w:rsid w:val="002664D0"/>
    <w:rsid w:val="002669BD"/>
    <w:rsid w:val="00266B13"/>
    <w:rsid w:val="00266B32"/>
    <w:rsid w:val="00266BE4"/>
    <w:rsid w:val="00267233"/>
    <w:rsid w:val="002672BF"/>
    <w:rsid w:val="002676D5"/>
    <w:rsid w:val="0026774D"/>
    <w:rsid w:val="0026780A"/>
    <w:rsid w:val="00267850"/>
    <w:rsid w:val="00267930"/>
    <w:rsid w:val="002679FE"/>
    <w:rsid w:val="00267BC7"/>
    <w:rsid w:val="002700E5"/>
    <w:rsid w:val="002702BA"/>
    <w:rsid w:val="00270728"/>
    <w:rsid w:val="00270D42"/>
    <w:rsid w:val="00271044"/>
    <w:rsid w:val="002713F2"/>
    <w:rsid w:val="0027195D"/>
    <w:rsid w:val="00271BFE"/>
    <w:rsid w:val="00271C06"/>
    <w:rsid w:val="00271E96"/>
    <w:rsid w:val="00271F2D"/>
    <w:rsid w:val="00271F57"/>
    <w:rsid w:val="00272260"/>
    <w:rsid w:val="002722EF"/>
    <w:rsid w:val="00272B03"/>
    <w:rsid w:val="00272B24"/>
    <w:rsid w:val="00272C81"/>
    <w:rsid w:val="00272EE0"/>
    <w:rsid w:val="00272FE7"/>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C2D"/>
    <w:rsid w:val="00275D8E"/>
    <w:rsid w:val="00275DD5"/>
    <w:rsid w:val="00275DDE"/>
    <w:rsid w:val="00275EE5"/>
    <w:rsid w:val="00275F8B"/>
    <w:rsid w:val="00276037"/>
    <w:rsid w:val="00276192"/>
    <w:rsid w:val="00276591"/>
    <w:rsid w:val="002766FF"/>
    <w:rsid w:val="0027673A"/>
    <w:rsid w:val="00276974"/>
    <w:rsid w:val="00276A35"/>
    <w:rsid w:val="00276E41"/>
    <w:rsid w:val="00276FE2"/>
    <w:rsid w:val="00277040"/>
    <w:rsid w:val="002771F0"/>
    <w:rsid w:val="0027730D"/>
    <w:rsid w:val="0027758B"/>
    <w:rsid w:val="00277835"/>
    <w:rsid w:val="00277BCD"/>
    <w:rsid w:val="00277C56"/>
    <w:rsid w:val="002800AF"/>
    <w:rsid w:val="002802DD"/>
    <w:rsid w:val="002802F9"/>
    <w:rsid w:val="00280422"/>
    <w:rsid w:val="0028054E"/>
    <w:rsid w:val="0028067F"/>
    <w:rsid w:val="002807AD"/>
    <w:rsid w:val="00280A38"/>
    <w:rsid w:val="00280A4F"/>
    <w:rsid w:val="00280AAC"/>
    <w:rsid w:val="00280AB1"/>
    <w:rsid w:val="00280C24"/>
    <w:rsid w:val="00280CE7"/>
    <w:rsid w:val="00280EAE"/>
    <w:rsid w:val="00280EC6"/>
    <w:rsid w:val="00281280"/>
    <w:rsid w:val="002812FD"/>
    <w:rsid w:val="002815F1"/>
    <w:rsid w:val="002816AB"/>
    <w:rsid w:val="00281FA4"/>
    <w:rsid w:val="00281FAD"/>
    <w:rsid w:val="002820D9"/>
    <w:rsid w:val="002823A8"/>
    <w:rsid w:val="00282BA6"/>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B57"/>
    <w:rsid w:val="00284BAE"/>
    <w:rsid w:val="00284BCB"/>
    <w:rsid w:val="00284C68"/>
    <w:rsid w:val="00284F7F"/>
    <w:rsid w:val="00284FA9"/>
    <w:rsid w:val="002851B8"/>
    <w:rsid w:val="002851CF"/>
    <w:rsid w:val="00285762"/>
    <w:rsid w:val="002859AF"/>
    <w:rsid w:val="00285C35"/>
    <w:rsid w:val="00285E8A"/>
    <w:rsid w:val="002860D9"/>
    <w:rsid w:val="00286356"/>
    <w:rsid w:val="002863AA"/>
    <w:rsid w:val="00286544"/>
    <w:rsid w:val="002866CF"/>
    <w:rsid w:val="0028679F"/>
    <w:rsid w:val="002869B1"/>
    <w:rsid w:val="00286AB6"/>
    <w:rsid w:val="00286AE7"/>
    <w:rsid w:val="00286CFD"/>
    <w:rsid w:val="00286F62"/>
    <w:rsid w:val="00287243"/>
    <w:rsid w:val="00287482"/>
    <w:rsid w:val="0028751B"/>
    <w:rsid w:val="00287843"/>
    <w:rsid w:val="002878BE"/>
    <w:rsid w:val="00287B89"/>
    <w:rsid w:val="0029001E"/>
    <w:rsid w:val="0029014C"/>
    <w:rsid w:val="00290426"/>
    <w:rsid w:val="00290647"/>
    <w:rsid w:val="00290727"/>
    <w:rsid w:val="00290852"/>
    <w:rsid w:val="00290930"/>
    <w:rsid w:val="00290BB0"/>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BB3"/>
    <w:rsid w:val="00292CB4"/>
    <w:rsid w:val="00292E24"/>
    <w:rsid w:val="002936A4"/>
    <w:rsid w:val="00293858"/>
    <w:rsid w:val="00293873"/>
    <w:rsid w:val="00293DF0"/>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75C"/>
    <w:rsid w:val="002A08E6"/>
    <w:rsid w:val="002A09ED"/>
    <w:rsid w:val="002A0CC8"/>
    <w:rsid w:val="002A0F05"/>
    <w:rsid w:val="002A173A"/>
    <w:rsid w:val="002A173C"/>
    <w:rsid w:val="002A1ABA"/>
    <w:rsid w:val="002A1AF3"/>
    <w:rsid w:val="002A1B3F"/>
    <w:rsid w:val="002A1E92"/>
    <w:rsid w:val="002A204D"/>
    <w:rsid w:val="002A2051"/>
    <w:rsid w:val="002A2136"/>
    <w:rsid w:val="002A21E7"/>
    <w:rsid w:val="002A2473"/>
    <w:rsid w:val="002A2616"/>
    <w:rsid w:val="002A26E1"/>
    <w:rsid w:val="002A2A07"/>
    <w:rsid w:val="002A2EF8"/>
    <w:rsid w:val="002A345D"/>
    <w:rsid w:val="002A3468"/>
    <w:rsid w:val="002A35FF"/>
    <w:rsid w:val="002A368A"/>
    <w:rsid w:val="002A369F"/>
    <w:rsid w:val="002A36DD"/>
    <w:rsid w:val="002A372D"/>
    <w:rsid w:val="002A384A"/>
    <w:rsid w:val="002A398A"/>
    <w:rsid w:val="002A3993"/>
    <w:rsid w:val="002A3A56"/>
    <w:rsid w:val="002A3F92"/>
    <w:rsid w:val="002A4065"/>
    <w:rsid w:val="002A4502"/>
    <w:rsid w:val="002A450E"/>
    <w:rsid w:val="002A46CC"/>
    <w:rsid w:val="002A4803"/>
    <w:rsid w:val="002A48A0"/>
    <w:rsid w:val="002A4920"/>
    <w:rsid w:val="002A4930"/>
    <w:rsid w:val="002A49CC"/>
    <w:rsid w:val="002A4A48"/>
    <w:rsid w:val="002A4DCF"/>
    <w:rsid w:val="002A4EA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CC0"/>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A7D"/>
    <w:rsid w:val="002B0B8F"/>
    <w:rsid w:val="002B0BA0"/>
    <w:rsid w:val="002B0FC1"/>
    <w:rsid w:val="002B0FD8"/>
    <w:rsid w:val="002B102E"/>
    <w:rsid w:val="002B109D"/>
    <w:rsid w:val="002B12ED"/>
    <w:rsid w:val="002B1828"/>
    <w:rsid w:val="002B1A69"/>
    <w:rsid w:val="002B1FFC"/>
    <w:rsid w:val="002B21F9"/>
    <w:rsid w:val="002B22AD"/>
    <w:rsid w:val="002B26DD"/>
    <w:rsid w:val="002B2723"/>
    <w:rsid w:val="002B2FD9"/>
    <w:rsid w:val="002B303A"/>
    <w:rsid w:val="002B30FB"/>
    <w:rsid w:val="002B31F1"/>
    <w:rsid w:val="002B33B2"/>
    <w:rsid w:val="002B3471"/>
    <w:rsid w:val="002B3611"/>
    <w:rsid w:val="002B3848"/>
    <w:rsid w:val="002B3880"/>
    <w:rsid w:val="002B3B04"/>
    <w:rsid w:val="002B3D92"/>
    <w:rsid w:val="002B417D"/>
    <w:rsid w:val="002B4217"/>
    <w:rsid w:val="002B42E4"/>
    <w:rsid w:val="002B43B1"/>
    <w:rsid w:val="002B4422"/>
    <w:rsid w:val="002B446A"/>
    <w:rsid w:val="002B45B8"/>
    <w:rsid w:val="002B48B7"/>
    <w:rsid w:val="002B4924"/>
    <w:rsid w:val="002B4A96"/>
    <w:rsid w:val="002B4B16"/>
    <w:rsid w:val="002B4B71"/>
    <w:rsid w:val="002B4CD0"/>
    <w:rsid w:val="002B4D9A"/>
    <w:rsid w:val="002B5170"/>
    <w:rsid w:val="002B518F"/>
    <w:rsid w:val="002B51C8"/>
    <w:rsid w:val="002B538E"/>
    <w:rsid w:val="002B5565"/>
    <w:rsid w:val="002B5625"/>
    <w:rsid w:val="002B58F1"/>
    <w:rsid w:val="002B5A8D"/>
    <w:rsid w:val="002B5C9F"/>
    <w:rsid w:val="002B5D4B"/>
    <w:rsid w:val="002B5DCA"/>
    <w:rsid w:val="002B61A4"/>
    <w:rsid w:val="002B63EE"/>
    <w:rsid w:val="002B63FC"/>
    <w:rsid w:val="002B64D2"/>
    <w:rsid w:val="002B6582"/>
    <w:rsid w:val="002B6619"/>
    <w:rsid w:val="002B6863"/>
    <w:rsid w:val="002B68D2"/>
    <w:rsid w:val="002B68F4"/>
    <w:rsid w:val="002B6BDC"/>
    <w:rsid w:val="002B6BF8"/>
    <w:rsid w:val="002B6D32"/>
    <w:rsid w:val="002B6F87"/>
    <w:rsid w:val="002B7023"/>
    <w:rsid w:val="002B70B3"/>
    <w:rsid w:val="002B74D1"/>
    <w:rsid w:val="002B75AB"/>
    <w:rsid w:val="002B75B0"/>
    <w:rsid w:val="002B768F"/>
    <w:rsid w:val="002B7879"/>
    <w:rsid w:val="002B7B47"/>
    <w:rsid w:val="002B7BFA"/>
    <w:rsid w:val="002B7EAF"/>
    <w:rsid w:val="002B7F30"/>
    <w:rsid w:val="002C049A"/>
    <w:rsid w:val="002C04BA"/>
    <w:rsid w:val="002C0554"/>
    <w:rsid w:val="002C078A"/>
    <w:rsid w:val="002C07B1"/>
    <w:rsid w:val="002C099C"/>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3064"/>
    <w:rsid w:val="002C376E"/>
    <w:rsid w:val="002C3827"/>
    <w:rsid w:val="002C38B2"/>
    <w:rsid w:val="002C3927"/>
    <w:rsid w:val="002C3A19"/>
    <w:rsid w:val="002C3AEA"/>
    <w:rsid w:val="002C3BE4"/>
    <w:rsid w:val="002C3CDB"/>
    <w:rsid w:val="002C3F9C"/>
    <w:rsid w:val="002C4041"/>
    <w:rsid w:val="002C4172"/>
    <w:rsid w:val="002C4792"/>
    <w:rsid w:val="002C4A7A"/>
    <w:rsid w:val="002C4B7A"/>
    <w:rsid w:val="002C4BFA"/>
    <w:rsid w:val="002C4C6E"/>
    <w:rsid w:val="002C4E66"/>
    <w:rsid w:val="002C51A6"/>
    <w:rsid w:val="002C51DB"/>
    <w:rsid w:val="002C5669"/>
    <w:rsid w:val="002C5AFA"/>
    <w:rsid w:val="002C5B40"/>
    <w:rsid w:val="002C5C1B"/>
    <w:rsid w:val="002C5CE1"/>
    <w:rsid w:val="002C61AE"/>
    <w:rsid w:val="002C62F0"/>
    <w:rsid w:val="002C63E4"/>
    <w:rsid w:val="002C67CD"/>
    <w:rsid w:val="002C69BC"/>
    <w:rsid w:val="002C6A38"/>
    <w:rsid w:val="002C6ABD"/>
    <w:rsid w:val="002C6BE3"/>
    <w:rsid w:val="002C7056"/>
    <w:rsid w:val="002C7154"/>
    <w:rsid w:val="002C720E"/>
    <w:rsid w:val="002C7308"/>
    <w:rsid w:val="002C7733"/>
    <w:rsid w:val="002C79C9"/>
    <w:rsid w:val="002C7BA1"/>
    <w:rsid w:val="002C7F1B"/>
    <w:rsid w:val="002C7FD4"/>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2D11"/>
    <w:rsid w:val="002D30E3"/>
    <w:rsid w:val="002D314F"/>
    <w:rsid w:val="002D32A7"/>
    <w:rsid w:val="002D3304"/>
    <w:rsid w:val="002D33F6"/>
    <w:rsid w:val="002D39C1"/>
    <w:rsid w:val="002D3A64"/>
    <w:rsid w:val="002D3BB3"/>
    <w:rsid w:val="002D3BBC"/>
    <w:rsid w:val="002D3CA5"/>
    <w:rsid w:val="002D3EFD"/>
    <w:rsid w:val="002D438A"/>
    <w:rsid w:val="002D4A76"/>
    <w:rsid w:val="002D4B58"/>
    <w:rsid w:val="002D4B68"/>
    <w:rsid w:val="002D4E96"/>
    <w:rsid w:val="002D4F85"/>
    <w:rsid w:val="002D5078"/>
    <w:rsid w:val="002D55F3"/>
    <w:rsid w:val="002D56F0"/>
    <w:rsid w:val="002D5738"/>
    <w:rsid w:val="002D5B50"/>
    <w:rsid w:val="002D5D02"/>
    <w:rsid w:val="002D5DC3"/>
    <w:rsid w:val="002D5E51"/>
    <w:rsid w:val="002D5E53"/>
    <w:rsid w:val="002D5EAD"/>
    <w:rsid w:val="002D6354"/>
    <w:rsid w:val="002D6490"/>
    <w:rsid w:val="002D65A2"/>
    <w:rsid w:val="002D6633"/>
    <w:rsid w:val="002D6795"/>
    <w:rsid w:val="002D6A99"/>
    <w:rsid w:val="002D6C2F"/>
    <w:rsid w:val="002D6CBF"/>
    <w:rsid w:val="002D70FD"/>
    <w:rsid w:val="002D728D"/>
    <w:rsid w:val="002D776A"/>
    <w:rsid w:val="002D7890"/>
    <w:rsid w:val="002D78FB"/>
    <w:rsid w:val="002D7A95"/>
    <w:rsid w:val="002E0288"/>
    <w:rsid w:val="002E0319"/>
    <w:rsid w:val="002E0D8E"/>
    <w:rsid w:val="002E0E7A"/>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97C"/>
    <w:rsid w:val="002E3B94"/>
    <w:rsid w:val="002E3C65"/>
    <w:rsid w:val="002E3D41"/>
    <w:rsid w:val="002E3F5B"/>
    <w:rsid w:val="002E41A7"/>
    <w:rsid w:val="002E4362"/>
    <w:rsid w:val="002E44AA"/>
    <w:rsid w:val="002E46CF"/>
    <w:rsid w:val="002E493A"/>
    <w:rsid w:val="002E4D6B"/>
    <w:rsid w:val="002E4EF3"/>
    <w:rsid w:val="002E51F8"/>
    <w:rsid w:val="002E5728"/>
    <w:rsid w:val="002E577A"/>
    <w:rsid w:val="002E5ACB"/>
    <w:rsid w:val="002E604B"/>
    <w:rsid w:val="002E63D9"/>
    <w:rsid w:val="002E640E"/>
    <w:rsid w:val="002E66E6"/>
    <w:rsid w:val="002E6812"/>
    <w:rsid w:val="002E6965"/>
    <w:rsid w:val="002E6E46"/>
    <w:rsid w:val="002E7790"/>
    <w:rsid w:val="002E7909"/>
    <w:rsid w:val="002E7E9F"/>
    <w:rsid w:val="002F0190"/>
    <w:rsid w:val="002F0760"/>
    <w:rsid w:val="002F0AB7"/>
    <w:rsid w:val="002F0BA1"/>
    <w:rsid w:val="002F0C28"/>
    <w:rsid w:val="002F0C7A"/>
    <w:rsid w:val="002F1011"/>
    <w:rsid w:val="002F109A"/>
    <w:rsid w:val="002F1A5D"/>
    <w:rsid w:val="002F1CBE"/>
    <w:rsid w:val="002F1CDC"/>
    <w:rsid w:val="002F1EF9"/>
    <w:rsid w:val="002F2596"/>
    <w:rsid w:val="002F27C7"/>
    <w:rsid w:val="002F2A42"/>
    <w:rsid w:val="002F3320"/>
    <w:rsid w:val="002F3357"/>
    <w:rsid w:val="002F35B5"/>
    <w:rsid w:val="002F3646"/>
    <w:rsid w:val="002F3997"/>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C20"/>
    <w:rsid w:val="002F4FA9"/>
    <w:rsid w:val="002F4FE3"/>
    <w:rsid w:val="002F52F6"/>
    <w:rsid w:val="002F5396"/>
    <w:rsid w:val="002F57CE"/>
    <w:rsid w:val="002F5972"/>
    <w:rsid w:val="002F5DD6"/>
    <w:rsid w:val="002F5F4F"/>
    <w:rsid w:val="002F5FEA"/>
    <w:rsid w:val="002F60C8"/>
    <w:rsid w:val="002F63E7"/>
    <w:rsid w:val="002F64D1"/>
    <w:rsid w:val="002F66AC"/>
    <w:rsid w:val="002F6BF9"/>
    <w:rsid w:val="002F70F9"/>
    <w:rsid w:val="002F7194"/>
    <w:rsid w:val="002F74F2"/>
    <w:rsid w:val="002F78EB"/>
    <w:rsid w:val="002F7983"/>
    <w:rsid w:val="002F79FF"/>
    <w:rsid w:val="002F7BE3"/>
    <w:rsid w:val="002F7BE4"/>
    <w:rsid w:val="002F7E6A"/>
    <w:rsid w:val="003000B1"/>
    <w:rsid w:val="00300165"/>
    <w:rsid w:val="003003A7"/>
    <w:rsid w:val="003005F6"/>
    <w:rsid w:val="003010CF"/>
    <w:rsid w:val="00301294"/>
    <w:rsid w:val="003014E2"/>
    <w:rsid w:val="003016E1"/>
    <w:rsid w:val="0030172D"/>
    <w:rsid w:val="003019A5"/>
    <w:rsid w:val="00301AD0"/>
    <w:rsid w:val="00301B3C"/>
    <w:rsid w:val="00301DF8"/>
    <w:rsid w:val="00301E7D"/>
    <w:rsid w:val="003021B5"/>
    <w:rsid w:val="003021D6"/>
    <w:rsid w:val="00302780"/>
    <w:rsid w:val="00302B90"/>
    <w:rsid w:val="00302BC2"/>
    <w:rsid w:val="003031F8"/>
    <w:rsid w:val="0030323D"/>
    <w:rsid w:val="003033BD"/>
    <w:rsid w:val="003033C0"/>
    <w:rsid w:val="00303440"/>
    <w:rsid w:val="003036A9"/>
    <w:rsid w:val="00303778"/>
    <w:rsid w:val="00303799"/>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AE5"/>
    <w:rsid w:val="00305B5F"/>
    <w:rsid w:val="00305B69"/>
    <w:rsid w:val="00305C11"/>
    <w:rsid w:val="00305C5A"/>
    <w:rsid w:val="00305CA3"/>
    <w:rsid w:val="00305EB4"/>
    <w:rsid w:val="00305EE4"/>
    <w:rsid w:val="00305F6D"/>
    <w:rsid w:val="00305FF9"/>
    <w:rsid w:val="00306147"/>
    <w:rsid w:val="0030639E"/>
    <w:rsid w:val="003066FB"/>
    <w:rsid w:val="003067B9"/>
    <w:rsid w:val="00306956"/>
    <w:rsid w:val="00306C24"/>
    <w:rsid w:val="00306E6B"/>
    <w:rsid w:val="00306E8D"/>
    <w:rsid w:val="003076BF"/>
    <w:rsid w:val="003078AA"/>
    <w:rsid w:val="00307A97"/>
    <w:rsid w:val="00307C47"/>
    <w:rsid w:val="00307CE5"/>
    <w:rsid w:val="00307ECC"/>
    <w:rsid w:val="003100C8"/>
    <w:rsid w:val="00310201"/>
    <w:rsid w:val="00310293"/>
    <w:rsid w:val="003103D6"/>
    <w:rsid w:val="00310487"/>
    <w:rsid w:val="00310529"/>
    <w:rsid w:val="0031055D"/>
    <w:rsid w:val="0031099D"/>
    <w:rsid w:val="00310BA5"/>
    <w:rsid w:val="00310CFA"/>
    <w:rsid w:val="00310D50"/>
    <w:rsid w:val="00310DD1"/>
    <w:rsid w:val="00310E65"/>
    <w:rsid w:val="00310FD1"/>
    <w:rsid w:val="00311161"/>
    <w:rsid w:val="0031121D"/>
    <w:rsid w:val="003113C3"/>
    <w:rsid w:val="00311CB3"/>
    <w:rsid w:val="00311F05"/>
    <w:rsid w:val="00312303"/>
    <w:rsid w:val="00312400"/>
    <w:rsid w:val="00312739"/>
    <w:rsid w:val="00312921"/>
    <w:rsid w:val="00312B98"/>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9C6"/>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6F"/>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100B"/>
    <w:rsid w:val="00321039"/>
    <w:rsid w:val="003210D8"/>
    <w:rsid w:val="003214AF"/>
    <w:rsid w:val="003215C2"/>
    <w:rsid w:val="0032173F"/>
    <w:rsid w:val="003217BC"/>
    <w:rsid w:val="00321B18"/>
    <w:rsid w:val="00321BD7"/>
    <w:rsid w:val="0032249C"/>
    <w:rsid w:val="0032260F"/>
    <w:rsid w:val="00322665"/>
    <w:rsid w:val="003227D3"/>
    <w:rsid w:val="003228DA"/>
    <w:rsid w:val="00322E79"/>
    <w:rsid w:val="003232EB"/>
    <w:rsid w:val="00323620"/>
    <w:rsid w:val="00323742"/>
    <w:rsid w:val="00323922"/>
    <w:rsid w:val="00323AC9"/>
    <w:rsid w:val="00323B19"/>
    <w:rsid w:val="00323BA4"/>
    <w:rsid w:val="00323CB2"/>
    <w:rsid w:val="00323D6B"/>
    <w:rsid w:val="00323EC1"/>
    <w:rsid w:val="003244E7"/>
    <w:rsid w:val="00324682"/>
    <w:rsid w:val="003246C3"/>
    <w:rsid w:val="00324804"/>
    <w:rsid w:val="00324917"/>
    <w:rsid w:val="00324ABA"/>
    <w:rsid w:val="00324C79"/>
    <w:rsid w:val="003252CE"/>
    <w:rsid w:val="003254FF"/>
    <w:rsid w:val="00325571"/>
    <w:rsid w:val="00325681"/>
    <w:rsid w:val="003259C5"/>
    <w:rsid w:val="00325A0A"/>
    <w:rsid w:val="00325DA8"/>
    <w:rsid w:val="0032602D"/>
    <w:rsid w:val="00326047"/>
    <w:rsid w:val="003260C8"/>
    <w:rsid w:val="003261AD"/>
    <w:rsid w:val="003262D8"/>
    <w:rsid w:val="00326340"/>
    <w:rsid w:val="00326681"/>
    <w:rsid w:val="0032670E"/>
    <w:rsid w:val="00326957"/>
    <w:rsid w:val="00326AE2"/>
    <w:rsid w:val="00326BB1"/>
    <w:rsid w:val="00326D48"/>
    <w:rsid w:val="00326DC0"/>
    <w:rsid w:val="00327242"/>
    <w:rsid w:val="0032779B"/>
    <w:rsid w:val="00327A58"/>
    <w:rsid w:val="00327B03"/>
    <w:rsid w:val="00327BBD"/>
    <w:rsid w:val="00327C68"/>
    <w:rsid w:val="00327D8E"/>
    <w:rsid w:val="00327DAD"/>
    <w:rsid w:val="00327DCD"/>
    <w:rsid w:val="00327EC0"/>
    <w:rsid w:val="0033072A"/>
    <w:rsid w:val="00330748"/>
    <w:rsid w:val="00330B5A"/>
    <w:rsid w:val="00330CEA"/>
    <w:rsid w:val="00330E05"/>
    <w:rsid w:val="003310BA"/>
    <w:rsid w:val="003312CE"/>
    <w:rsid w:val="00331426"/>
    <w:rsid w:val="00331608"/>
    <w:rsid w:val="0033171D"/>
    <w:rsid w:val="00331FC3"/>
    <w:rsid w:val="00332182"/>
    <w:rsid w:val="003325DA"/>
    <w:rsid w:val="0033299F"/>
    <w:rsid w:val="00332EF2"/>
    <w:rsid w:val="003332F6"/>
    <w:rsid w:val="003332F7"/>
    <w:rsid w:val="00333351"/>
    <w:rsid w:val="00333429"/>
    <w:rsid w:val="003336B3"/>
    <w:rsid w:val="00333AF2"/>
    <w:rsid w:val="00333BD6"/>
    <w:rsid w:val="00333F7B"/>
    <w:rsid w:val="00333FE9"/>
    <w:rsid w:val="00334182"/>
    <w:rsid w:val="0033426F"/>
    <w:rsid w:val="00334338"/>
    <w:rsid w:val="00334486"/>
    <w:rsid w:val="003344BC"/>
    <w:rsid w:val="00334563"/>
    <w:rsid w:val="00334615"/>
    <w:rsid w:val="00334756"/>
    <w:rsid w:val="0033479A"/>
    <w:rsid w:val="00334810"/>
    <w:rsid w:val="00334972"/>
    <w:rsid w:val="00334CCC"/>
    <w:rsid w:val="003350EC"/>
    <w:rsid w:val="003355A8"/>
    <w:rsid w:val="00335A31"/>
    <w:rsid w:val="00335B75"/>
    <w:rsid w:val="00335C6D"/>
    <w:rsid w:val="00335D8C"/>
    <w:rsid w:val="00336072"/>
    <w:rsid w:val="003363A1"/>
    <w:rsid w:val="00336948"/>
    <w:rsid w:val="00336C35"/>
    <w:rsid w:val="00336CFD"/>
    <w:rsid w:val="00336DBC"/>
    <w:rsid w:val="00336F58"/>
    <w:rsid w:val="00336FF1"/>
    <w:rsid w:val="0033700D"/>
    <w:rsid w:val="0033749C"/>
    <w:rsid w:val="00337573"/>
    <w:rsid w:val="00337BF8"/>
    <w:rsid w:val="00337C08"/>
    <w:rsid w:val="00337CFC"/>
    <w:rsid w:val="00337FF0"/>
    <w:rsid w:val="0034009E"/>
    <w:rsid w:val="003401F0"/>
    <w:rsid w:val="0034021C"/>
    <w:rsid w:val="00340452"/>
    <w:rsid w:val="0034068D"/>
    <w:rsid w:val="00340857"/>
    <w:rsid w:val="00340C1E"/>
    <w:rsid w:val="00340D80"/>
    <w:rsid w:val="00340D83"/>
    <w:rsid w:val="00340F54"/>
    <w:rsid w:val="0034105E"/>
    <w:rsid w:val="0034157A"/>
    <w:rsid w:val="0034172F"/>
    <w:rsid w:val="003417C5"/>
    <w:rsid w:val="00341A6F"/>
    <w:rsid w:val="00341AAA"/>
    <w:rsid w:val="00341C17"/>
    <w:rsid w:val="00341EF8"/>
    <w:rsid w:val="003421AA"/>
    <w:rsid w:val="00342244"/>
    <w:rsid w:val="0034226D"/>
    <w:rsid w:val="00342527"/>
    <w:rsid w:val="00342663"/>
    <w:rsid w:val="0034269C"/>
    <w:rsid w:val="00342874"/>
    <w:rsid w:val="00342972"/>
    <w:rsid w:val="00342DBF"/>
    <w:rsid w:val="00342FDD"/>
    <w:rsid w:val="0034311D"/>
    <w:rsid w:val="00343AEA"/>
    <w:rsid w:val="0034429B"/>
    <w:rsid w:val="003443BA"/>
    <w:rsid w:val="00344596"/>
    <w:rsid w:val="00344866"/>
    <w:rsid w:val="00344A29"/>
    <w:rsid w:val="00344A7E"/>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BF1"/>
    <w:rsid w:val="00346DE9"/>
    <w:rsid w:val="00346ED6"/>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BD1"/>
    <w:rsid w:val="00350D6F"/>
    <w:rsid w:val="00350DF1"/>
    <w:rsid w:val="00350E18"/>
    <w:rsid w:val="00350F84"/>
    <w:rsid w:val="00350F98"/>
    <w:rsid w:val="00351054"/>
    <w:rsid w:val="00351415"/>
    <w:rsid w:val="00351872"/>
    <w:rsid w:val="00351991"/>
    <w:rsid w:val="003519A1"/>
    <w:rsid w:val="00351CC3"/>
    <w:rsid w:val="00351FED"/>
    <w:rsid w:val="0035202E"/>
    <w:rsid w:val="00352273"/>
    <w:rsid w:val="00352397"/>
    <w:rsid w:val="00352480"/>
    <w:rsid w:val="0035259D"/>
    <w:rsid w:val="003525A8"/>
    <w:rsid w:val="003526F7"/>
    <w:rsid w:val="00352808"/>
    <w:rsid w:val="00352F9B"/>
    <w:rsid w:val="00352FD6"/>
    <w:rsid w:val="00353065"/>
    <w:rsid w:val="003530B3"/>
    <w:rsid w:val="003530D2"/>
    <w:rsid w:val="0035311C"/>
    <w:rsid w:val="0035313E"/>
    <w:rsid w:val="0035331A"/>
    <w:rsid w:val="00353436"/>
    <w:rsid w:val="003534E1"/>
    <w:rsid w:val="003536EF"/>
    <w:rsid w:val="0035382D"/>
    <w:rsid w:val="0035390A"/>
    <w:rsid w:val="00353D0A"/>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B5"/>
    <w:rsid w:val="00356D14"/>
    <w:rsid w:val="00356F02"/>
    <w:rsid w:val="00357014"/>
    <w:rsid w:val="00357048"/>
    <w:rsid w:val="003571CB"/>
    <w:rsid w:val="003572D8"/>
    <w:rsid w:val="00357405"/>
    <w:rsid w:val="00357A2A"/>
    <w:rsid w:val="00357A6A"/>
    <w:rsid w:val="00357CD5"/>
    <w:rsid w:val="00360232"/>
    <w:rsid w:val="003602E0"/>
    <w:rsid w:val="00360826"/>
    <w:rsid w:val="00360876"/>
    <w:rsid w:val="003608C1"/>
    <w:rsid w:val="0036099B"/>
    <w:rsid w:val="00360AE9"/>
    <w:rsid w:val="00360C0C"/>
    <w:rsid w:val="00360D01"/>
    <w:rsid w:val="00360E52"/>
    <w:rsid w:val="00360E7E"/>
    <w:rsid w:val="00361083"/>
    <w:rsid w:val="003612FC"/>
    <w:rsid w:val="00361665"/>
    <w:rsid w:val="00361730"/>
    <w:rsid w:val="00361C1D"/>
    <w:rsid w:val="00362283"/>
    <w:rsid w:val="0036228A"/>
    <w:rsid w:val="00362569"/>
    <w:rsid w:val="0036259A"/>
    <w:rsid w:val="0036263F"/>
    <w:rsid w:val="003628BB"/>
    <w:rsid w:val="00362DD6"/>
    <w:rsid w:val="00363416"/>
    <w:rsid w:val="0036341B"/>
    <w:rsid w:val="0036345C"/>
    <w:rsid w:val="003636B0"/>
    <w:rsid w:val="003636CD"/>
    <w:rsid w:val="003638D7"/>
    <w:rsid w:val="00363927"/>
    <w:rsid w:val="003639B6"/>
    <w:rsid w:val="00363F6A"/>
    <w:rsid w:val="003642E8"/>
    <w:rsid w:val="00364320"/>
    <w:rsid w:val="00364326"/>
    <w:rsid w:val="003645C1"/>
    <w:rsid w:val="0036465C"/>
    <w:rsid w:val="0036487C"/>
    <w:rsid w:val="00364AA0"/>
    <w:rsid w:val="00364B00"/>
    <w:rsid w:val="00364C9B"/>
    <w:rsid w:val="00364FCD"/>
    <w:rsid w:val="00365067"/>
    <w:rsid w:val="0036540E"/>
    <w:rsid w:val="00365411"/>
    <w:rsid w:val="00365FA2"/>
    <w:rsid w:val="003660D9"/>
    <w:rsid w:val="00366714"/>
    <w:rsid w:val="00366732"/>
    <w:rsid w:val="0036684A"/>
    <w:rsid w:val="00366A18"/>
    <w:rsid w:val="00366A53"/>
    <w:rsid w:val="00366C69"/>
    <w:rsid w:val="00366CCF"/>
    <w:rsid w:val="00366F4B"/>
    <w:rsid w:val="00367441"/>
    <w:rsid w:val="00367973"/>
    <w:rsid w:val="00367B1D"/>
    <w:rsid w:val="00367D16"/>
    <w:rsid w:val="00367E64"/>
    <w:rsid w:val="00367EEC"/>
    <w:rsid w:val="00370076"/>
    <w:rsid w:val="003703A1"/>
    <w:rsid w:val="00370659"/>
    <w:rsid w:val="003707A9"/>
    <w:rsid w:val="00370851"/>
    <w:rsid w:val="00370887"/>
    <w:rsid w:val="0037096F"/>
    <w:rsid w:val="00370E4F"/>
    <w:rsid w:val="003711D3"/>
    <w:rsid w:val="00371215"/>
    <w:rsid w:val="0037141B"/>
    <w:rsid w:val="00371B4A"/>
    <w:rsid w:val="00371BD4"/>
    <w:rsid w:val="00371D64"/>
    <w:rsid w:val="00371E1E"/>
    <w:rsid w:val="00371FC2"/>
    <w:rsid w:val="0037249D"/>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4D22"/>
    <w:rsid w:val="00375118"/>
    <w:rsid w:val="00375190"/>
    <w:rsid w:val="003752E9"/>
    <w:rsid w:val="003752F4"/>
    <w:rsid w:val="0037535B"/>
    <w:rsid w:val="00375416"/>
    <w:rsid w:val="003754E4"/>
    <w:rsid w:val="0037552D"/>
    <w:rsid w:val="003756DB"/>
    <w:rsid w:val="0037586E"/>
    <w:rsid w:val="00375AD8"/>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5B"/>
    <w:rsid w:val="00377A72"/>
    <w:rsid w:val="00377DB2"/>
    <w:rsid w:val="003802DC"/>
    <w:rsid w:val="0038033E"/>
    <w:rsid w:val="00380522"/>
    <w:rsid w:val="003808B0"/>
    <w:rsid w:val="00380A1E"/>
    <w:rsid w:val="00380E4E"/>
    <w:rsid w:val="00380F58"/>
    <w:rsid w:val="00380FBF"/>
    <w:rsid w:val="00380FD6"/>
    <w:rsid w:val="0038117E"/>
    <w:rsid w:val="00381187"/>
    <w:rsid w:val="003811CB"/>
    <w:rsid w:val="00381239"/>
    <w:rsid w:val="003816CE"/>
    <w:rsid w:val="00381961"/>
    <w:rsid w:val="0038196E"/>
    <w:rsid w:val="00381AF7"/>
    <w:rsid w:val="00381CB1"/>
    <w:rsid w:val="00382201"/>
    <w:rsid w:val="003822ED"/>
    <w:rsid w:val="003823DD"/>
    <w:rsid w:val="003824A4"/>
    <w:rsid w:val="003829BE"/>
    <w:rsid w:val="00382A43"/>
    <w:rsid w:val="00382ADC"/>
    <w:rsid w:val="00382D60"/>
    <w:rsid w:val="00382E94"/>
    <w:rsid w:val="00382EB7"/>
    <w:rsid w:val="00382EC0"/>
    <w:rsid w:val="00382F29"/>
    <w:rsid w:val="00382FA0"/>
    <w:rsid w:val="00382FA8"/>
    <w:rsid w:val="0038305E"/>
    <w:rsid w:val="003830B1"/>
    <w:rsid w:val="00383332"/>
    <w:rsid w:val="00383433"/>
    <w:rsid w:val="0038345B"/>
    <w:rsid w:val="00383587"/>
    <w:rsid w:val="00383618"/>
    <w:rsid w:val="00383693"/>
    <w:rsid w:val="003836A7"/>
    <w:rsid w:val="00383883"/>
    <w:rsid w:val="00383A03"/>
    <w:rsid w:val="00383C8D"/>
    <w:rsid w:val="00383D25"/>
    <w:rsid w:val="00384113"/>
    <w:rsid w:val="00384589"/>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52E"/>
    <w:rsid w:val="00391845"/>
    <w:rsid w:val="00391C2B"/>
    <w:rsid w:val="00391E77"/>
    <w:rsid w:val="00391F39"/>
    <w:rsid w:val="00391F7A"/>
    <w:rsid w:val="00392582"/>
    <w:rsid w:val="00392876"/>
    <w:rsid w:val="003928BC"/>
    <w:rsid w:val="003928C3"/>
    <w:rsid w:val="00392915"/>
    <w:rsid w:val="003929AB"/>
    <w:rsid w:val="00392D9A"/>
    <w:rsid w:val="00392E68"/>
    <w:rsid w:val="00392F30"/>
    <w:rsid w:val="00393324"/>
    <w:rsid w:val="0039347D"/>
    <w:rsid w:val="00393798"/>
    <w:rsid w:val="003937EA"/>
    <w:rsid w:val="00393A3E"/>
    <w:rsid w:val="00393AE7"/>
    <w:rsid w:val="00393D3B"/>
    <w:rsid w:val="00393D5C"/>
    <w:rsid w:val="00393EC3"/>
    <w:rsid w:val="00393FA5"/>
    <w:rsid w:val="003940CE"/>
    <w:rsid w:val="003941E3"/>
    <w:rsid w:val="003942EA"/>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53"/>
    <w:rsid w:val="003961F7"/>
    <w:rsid w:val="00396390"/>
    <w:rsid w:val="003963CE"/>
    <w:rsid w:val="00396412"/>
    <w:rsid w:val="00396505"/>
    <w:rsid w:val="00396514"/>
    <w:rsid w:val="00396542"/>
    <w:rsid w:val="00396817"/>
    <w:rsid w:val="00396818"/>
    <w:rsid w:val="00396D38"/>
    <w:rsid w:val="00396D42"/>
    <w:rsid w:val="00396D49"/>
    <w:rsid w:val="00396D8C"/>
    <w:rsid w:val="00396E48"/>
    <w:rsid w:val="003970E4"/>
    <w:rsid w:val="00397377"/>
    <w:rsid w:val="0039766F"/>
    <w:rsid w:val="003976F3"/>
    <w:rsid w:val="00397A10"/>
    <w:rsid w:val="00397C1D"/>
    <w:rsid w:val="003A0072"/>
    <w:rsid w:val="003A0087"/>
    <w:rsid w:val="003A01B1"/>
    <w:rsid w:val="003A0458"/>
    <w:rsid w:val="003A089E"/>
    <w:rsid w:val="003A08AC"/>
    <w:rsid w:val="003A08BB"/>
    <w:rsid w:val="003A09BE"/>
    <w:rsid w:val="003A0CE6"/>
    <w:rsid w:val="003A0F7D"/>
    <w:rsid w:val="003A1116"/>
    <w:rsid w:val="003A119D"/>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8E4"/>
    <w:rsid w:val="003A2A81"/>
    <w:rsid w:val="003A2C1C"/>
    <w:rsid w:val="003A2C29"/>
    <w:rsid w:val="003A2C74"/>
    <w:rsid w:val="003A2D74"/>
    <w:rsid w:val="003A2E7D"/>
    <w:rsid w:val="003A2EAC"/>
    <w:rsid w:val="003A2EC3"/>
    <w:rsid w:val="003A31AC"/>
    <w:rsid w:val="003A3348"/>
    <w:rsid w:val="003A357B"/>
    <w:rsid w:val="003A365F"/>
    <w:rsid w:val="003A36F2"/>
    <w:rsid w:val="003A3B22"/>
    <w:rsid w:val="003A3D39"/>
    <w:rsid w:val="003A3EC7"/>
    <w:rsid w:val="003A40B4"/>
    <w:rsid w:val="003A4315"/>
    <w:rsid w:val="003A4400"/>
    <w:rsid w:val="003A4F17"/>
    <w:rsid w:val="003A50CA"/>
    <w:rsid w:val="003A5278"/>
    <w:rsid w:val="003A52B4"/>
    <w:rsid w:val="003A5463"/>
    <w:rsid w:val="003A57C9"/>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4E9"/>
    <w:rsid w:val="003B0600"/>
    <w:rsid w:val="003B0A03"/>
    <w:rsid w:val="003B0B5B"/>
    <w:rsid w:val="003B0C86"/>
    <w:rsid w:val="003B0D51"/>
    <w:rsid w:val="003B0E43"/>
    <w:rsid w:val="003B0E79"/>
    <w:rsid w:val="003B0EF1"/>
    <w:rsid w:val="003B0FAB"/>
    <w:rsid w:val="003B1412"/>
    <w:rsid w:val="003B1571"/>
    <w:rsid w:val="003B1662"/>
    <w:rsid w:val="003B176D"/>
    <w:rsid w:val="003B19A2"/>
    <w:rsid w:val="003B1A9C"/>
    <w:rsid w:val="003B1AFE"/>
    <w:rsid w:val="003B1B0D"/>
    <w:rsid w:val="003B1C6B"/>
    <w:rsid w:val="003B1DC3"/>
    <w:rsid w:val="003B1F7F"/>
    <w:rsid w:val="003B206F"/>
    <w:rsid w:val="003B29C7"/>
    <w:rsid w:val="003B2C52"/>
    <w:rsid w:val="003B2CBC"/>
    <w:rsid w:val="003B2F64"/>
    <w:rsid w:val="003B32AE"/>
    <w:rsid w:val="003B32BE"/>
    <w:rsid w:val="003B3522"/>
    <w:rsid w:val="003B352D"/>
    <w:rsid w:val="003B3575"/>
    <w:rsid w:val="003B3614"/>
    <w:rsid w:val="003B3773"/>
    <w:rsid w:val="003B377F"/>
    <w:rsid w:val="003B3DD0"/>
    <w:rsid w:val="003B3EF5"/>
    <w:rsid w:val="003B408B"/>
    <w:rsid w:val="003B48B4"/>
    <w:rsid w:val="003B49A3"/>
    <w:rsid w:val="003B4B68"/>
    <w:rsid w:val="003B4BB7"/>
    <w:rsid w:val="003B4BE3"/>
    <w:rsid w:val="003B4DE9"/>
    <w:rsid w:val="003B4E90"/>
    <w:rsid w:val="003B4EB2"/>
    <w:rsid w:val="003B4EBF"/>
    <w:rsid w:val="003B5065"/>
    <w:rsid w:val="003B50BC"/>
    <w:rsid w:val="003B5923"/>
    <w:rsid w:val="003B5D97"/>
    <w:rsid w:val="003B606E"/>
    <w:rsid w:val="003B63A4"/>
    <w:rsid w:val="003B68FE"/>
    <w:rsid w:val="003B6B23"/>
    <w:rsid w:val="003B6D7D"/>
    <w:rsid w:val="003B6DCF"/>
    <w:rsid w:val="003B734F"/>
    <w:rsid w:val="003B74EF"/>
    <w:rsid w:val="003B74F9"/>
    <w:rsid w:val="003B75A1"/>
    <w:rsid w:val="003B766B"/>
    <w:rsid w:val="003B7967"/>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FD4"/>
    <w:rsid w:val="003C213D"/>
    <w:rsid w:val="003C215E"/>
    <w:rsid w:val="003C23D7"/>
    <w:rsid w:val="003C24B4"/>
    <w:rsid w:val="003C25AD"/>
    <w:rsid w:val="003C2645"/>
    <w:rsid w:val="003C2720"/>
    <w:rsid w:val="003C27B2"/>
    <w:rsid w:val="003C2934"/>
    <w:rsid w:val="003C2A2E"/>
    <w:rsid w:val="003C2D21"/>
    <w:rsid w:val="003C2E3E"/>
    <w:rsid w:val="003C314A"/>
    <w:rsid w:val="003C381B"/>
    <w:rsid w:val="003C3CA3"/>
    <w:rsid w:val="003C3FDB"/>
    <w:rsid w:val="003C411C"/>
    <w:rsid w:val="003C41DD"/>
    <w:rsid w:val="003C420E"/>
    <w:rsid w:val="003C426D"/>
    <w:rsid w:val="003C4768"/>
    <w:rsid w:val="003C4CDF"/>
    <w:rsid w:val="003C5198"/>
    <w:rsid w:val="003C5386"/>
    <w:rsid w:val="003C57D7"/>
    <w:rsid w:val="003C5BFC"/>
    <w:rsid w:val="003C5DD6"/>
    <w:rsid w:val="003C5E6B"/>
    <w:rsid w:val="003C5EA7"/>
    <w:rsid w:val="003C6144"/>
    <w:rsid w:val="003C62C3"/>
    <w:rsid w:val="003C6654"/>
    <w:rsid w:val="003C682A"/>
    <w:rsid w:val="003C7181"/>
    <w:rsid w:val="003C71E3"/>
    <w:rsid w:val="003C7364"/>
    <w:rsid w:val="003C76D0"/>
    <w:rsid w:val="003C77B1"/>
    <w:rsid w:val="003C7807"/>
    <w:rsid w:val="003C78F4"/>
    <w:rsid w:val="003C7939"/>
    <w:rsid w:val="003C7AD7"/>
    <w:rsid w:val="003C7E72"/>
    <w:rsid w:val="003C7FE4"/>
    <w:rsid w:val="003D0375"/>
    <w:rsid w:val="003D0908"/>
    <w:rsid w:val="003D0979"/>
    <w:rsid w:val="003D0FC3"/>
    <w:rsid w:val="003D1058"/>
    <w:rsid w:val="003D12B0"/>
    <w:rsid w:val="003D134F"/>
    <w:rsid w:val="003D1949"/>
    <w:rsid w:val="003D1A20"/>
    <w:rsid w:val="003D1A51"/>
    <w:rsid w:val="003D1EF7"/>
    <w:rsid w:val="003D238D"/>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AE"/>
    <w:rsid w:val="003D5859"/>
    <w:rsid w:val="003D59BA"/>
    <w:rsid w:val="003D5CBF"/>
    <w:rsid w:val="003D5DEC"/>
    <w:rsid w:val="003D5F0F"/>
    <w:rsid w:val="003D6667"/>
    <w:rsid w:val="003D66D2"/>
    <w:rsid w:val="003D67CB"/>
    <w:rsid w:val="003D67FF"/>
    <w:rsid w:val="003D6CC1"/>
    <w:rsid w:val="003D6DB8"/>
    <w:rsid w:val="003D6E19"/>
    <w:rsid w:val="003D709C"/>
    <w:rsid w:val="003D7364"/>
    <w:rsid w:val="003D74C3"/>
    <w:rsid w:val="003D75D3"/>
    <w:rsid w:val="003D75DA"/>
    <w:rsid w:val="003D79BD"/>
    <w:rsid w:val="003D79E7"/>
    <w:rsid w:val="003D7A60"/>
    <w:rsid w:val="003D7BF4"/>
    <w:rsid w:val="003D7D0A"/>
    <w:rsid w:val="003E055B"/>
    <w:rsid w:val="003E07AE"/>
    <w:rsid w:val="003E0D2F"/>
    <w:rsid w:val="003E0E27"/>
    <w:rsid w:val="003E1442"/>
    <w:rsid w:val="003E14FC"/>
    <w:rsid w:val="003E15C5"/>
    <w:rsid w:val="003E1611"/>
    <w:rsid w:val="003E1AEE"/>
    <w:rsid w:val="003E1B27"/>
    <w:rsid w:val="003E1C71"/>
    <w:rsid w:val="003E212F"/>
    <w:rsid w:val="003E273F"/>
    <w:rsid w:val="003E2976"/>
    <w:rsid w:val="003E29DD"/>
    <w:rsid w:val="003E29DE"/>
    <w:rsid w:val="003E2AC3"/>
    <w:rsid w:val="003E2D47"/>
    <w:rsid w:val="003E30BE"/>
    <w:rsid w:val="003E341D"/>
    <w:rsid w:val="003E3425"/>
    <w:rsid w:val="003E34B9"/>
    <w:rsid w:val="003E36E3"/>
    <w:rsid w:val="003E37A0"/>
    <w:rsid w:val="003E3957"/>
    <w:rsid w:val="003E398D"/>
    <w:rsid w:val="003E3B12"/>
    <w:rsid w:val="003E3CCB"/>
    <w:rsid w:val="003E3DBB"/>
    <w:rsid w:val="003E3EEB"/>
    <w:rsid w:val="003E4135"/>
    <w:rsid w:val="003E45F2"/>
    <w:rsid w:val="003E4858"/>
    <w:rsid w:val="003E4894"/>
    <w:rsid w:val="003E4BB4"/>
    <w:rsid w:val="003E4E45"/>
    <w:rsid w:val="003E4E81"/>
    <w:rsid w:val="003E506D"/>
    <w:rsid w:val="003E51CD"/>
    <w:rsid w:val="003E582B"/>
    <w:rsid w:val="003E5DE5"/>
    <w:rsid w:val="003E5E28"/>
    <w:rsid w:val="003E5E69"/>
    <w:rsid w:val="003E5F18"/>
    <w:rsid w:val="003E6178"/>
    <w:rsid w:val="003E6316"/>
    <w:rsid w:val="003E676C"/>
    <w:rsid w:val="003E6884"/>
    <w:rsid w:val="003E6AC5"/>
    <w:rsid w:val="003E6C32"/>
    <w:rsid w:val="003E725F"/>
    <w:rsid w:val="003E7A59"/>
    <w:rsid w:val="003E7A97"/>
    <w:rsid w:val="003E7A9E"/>
    <w:rsid w:val="003E7C52"/>
    <w:rsid w:val="003E7E56"/>
    <w:rsid w:val="003F001D"/>
    <w:rsid w:val="003F0096"/>
    <w:rsid w:val="003F057B"/>
    <w:rsid w:val="003F0662"/>
    <w:rsid w:val="003F0728"/>
    <w:rsid w:val="003F0850"/>
    <w:rsid w:val="003F0CCF"/>
    <w:rsid w:val="003F0D12"/>
    <w:rsid w:val="003F0DD9"/>
    <w:rsid w:val="003F0E97"/>
    <w:rsid w:val="003F106C"/>
    <w:rsid w:val="003F14B7"/>
    <w:rsid w:val="003F160C"/>
    <w:rsid w:val="003F1620"/>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3D5B"/>
    <w:rsid w:val="003F4033"/>
    <w:rsid w:val="003F41A2"/>
    <w:rsid w:val="003F44A0"/>
    <w:rsid w:val="003F45F4"/>
    <w:rsid w:val="003F4690"/>
    <w:rsid w:val="003F4776"/>
    <w:rsid w:val="003F477E"/>
    <w:rsid w:val="003F4BFF"/>
    <w:rsid w:val="003F4C36"/>
    <w:rsid w:val="003F4C79"/>
    <w:rsid w:val="003F4CC8"/>
    <w:rsid w:val="003F4CFA"/>
    <w:rsid w:val="003F4E23"/>
    <w:rsid w:val="003F4F3C"/>
    <w:rsid w:val="003F4FF9"/>
    <w:rsid w:val="003F5679"/>
    <w:rsid w:val="003F5845"/>
    <w:rsid w:val="003F585A"/>
    <w:rsid w:val="003F5CBB"/>
    <w:rsid w:val="003F5E10"/>
    <w:rsid w:val="003F5F25"/>
    <w:rsid w:val="003F607C"/>
    <w:rsid w:val="003F60C6"/>
    <w:rsid w:val="003F6522"/>
    <w:rsid w:val="003F6879"/>
    <w:rsid w:val="003F6900"/>
    <w:rsid w:val="003F6ACE"/>
    <w:rsid w:val="003F6B8F"/>
    <w:rsid w:val="003F6CD2"/>
    <w:rsid w:val="003F6EAB"/>
    <w:rsid w:val="003F6EDF"/>
    <w:rsid w:val="003F6F40"/>
    <w:rsid w:val="003F7071"/>
    <w:rsid w:val="003F742D"/>
    <w:rsid w:val="003F764D"/>
    <w:rsid w:val="003F786A"/>
    <w:rsid w:val="003F788D"/>
    <w:rsid w:val="003F78B9"/>
    <w:rsid w:val="003F7971"/>
    <w:rsid w:val="003F7DEA"/>
    <w:rsid w:val="0040018A"/>
    <w:rsid w:val="00400319"/>
    <w:rsid w:val="004007A1"/>
    <w:rsid w:val="0040091A"/>
    <w:rsid w:val="00400B15"/>
    <w:rsid w:val="00400B44"/>
    <w:rsid w:val="00400CAB"/>
    <w:rsid w:val="00401020"/>
    <w:rsid w:val="0040126E"/>
    <w:rsid w:val="0040146E"/>
    <w:rsid w:val="004017B5"/>
    <w:rsid w:val="0040197C"/>
    <w:rsid w:val="00402059"/>
    <w:rsid w:val="00402074"/>
    <w:rsid w:val="004020D4"/>
    <w:rsid w:val="004020E5"/>
    <w:rsid w:val="004021B6"/>
    <w:rsid w:val="0040226E"/>
    <w:rsid w:val="00402311"/>
    <w:rsid w:val="004024AA"/>
    <w:rsid w:val="00402528"/>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097"/>
    <w:rsid w:val="00404114"/>
    <w:rsid w:val="00404240"/>
    <w:rsid w:val="00404347"/>
    <w:rsid w:val="004047C4"/>
    <w:rsid w:val="00404FD6"/>
    <w:rsid w:val="0040501E"/>
    <w:rsid w:val="0040570B"/>
    <w:rsid w:val="0040591E"/>
    <w:rsid w:val="00405CE2"/>
    <w:rsid w:val="00405EDB"/>
    <w:rsid w:val="00405F6D"/>
    <w:rsid w:val="00405FB1"/>
    <w:rsid w:val="0040601F"/>
    <w:rsid w:val="0040607A"/>
    <w:rsid w:val="004060D0"/>
    <w:rsid w:val="00406460"/>
    <w:rsid w:val="0040673A"/>
    <w:rsid w:val="00406835"/>
    <w:rsid w:val="0040693D"/>
    <w:rsid w:val="00406A38"/>
    <w:rsid w:val="00406A97"/>
    <w:rsid w:val="00407209"/>
    <w:rsid w:val="00407587"/>
    <w:rsid w:val="00407B10"/>
    <w:rsid w:val="00407B17"/>
    <w:rsid w:val="00407F30"/>
    <w:rsid w:val="004104D3"/>
    <w:rsid w:val="0041054C"/>
    <w:rsid w:val="004106A4"/>
    <w:rsid w:val="0041097A"/>
    <w:rsid w:val="00410A68"/>
    <w:rsid w:val="00410C34"/>
    <w:rsid w:val="0041103A"/>
    <w:rsid w:val="004115BB"/>
    <w:rsid w:val="0041190C"/>
    <w:rsid w:val="0041196E"/>
    <w:rsid w:val="00411AA5"/>
    <w:rsid w:val="00411C92"/>
    <w:rsid w:val="00411F84"/>
    <w:rsid w:val="0041217A"/>
    <w:rsid w:val="004122E3"/>
    <w:rsid w:val="00412461"/>
    <w:rsid w:val="00412486"/>
    <w:rsid w:val="00412546"/>
    <w:rsid w:val="0041289F"/>
    <w:rsid w:val="004129B3"/>
    <w:rsid w:val="00412C34"/>
    <w:rsid w:val="00412D83"/>
    <w:rsid w:val="00412F0D"/>
    <w:rsid w:val="00413053"/>
    <w:rsid w:val="0041319C"/>
    <w:rsid w:val="004132F2"/>
    <w:rsid w:val="004133AF"/>
    <w:rsid w:val="00413419"/>
    <w:rsid w:val="00413435"/>
    <w:rsid w:val="0041351F"/>
    <w:rsid w:val="004137B6"/>
    <w:rsid w:val="004138A6"/>
    <w:rsid w:val="004139B9"/>
    <w:rsid w:val="004139F3"/>
    <w:rsid w:val="00413A54"/>
    <w:rsid w:val="00413B91"/>
    <w:rsid w:val="00413C10"/>
    <w:rsid w:val="00413CD9"/>
    <w:rsid w:val="00413D50"/>
    <w:rsid w:val="00413ED6"/>
    <w:rsid w:val="00413F9A"/>
    <w:rsid w:val="004140CA"/>
    <w:rsid w:val="00414277"/>
    <w:rsid w:val="004144C6"/>
    <w:rsid w:val="0041464E"/>
    <w:rsid w:val="004147CC"/>
    <w:rsid w:val="004148BB"/>
    <w:rsid w:val="00414989"/>
    <w:rsid w:val="00414A2F"/>
    <w:rsid w:val="00414B4C"/>
    <w:rsid w:val="00414BD3"/>
    <w:rsid w:val="00414C65"/>
    <w:rsid w:val="00414E92"/>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D9"/>
    <w:rsid w:val="00416F8E"/>
    <w:rsid w:val="00416F94"/>
    <w:rsid w:val="00417069"/>
    <w:rsid w:val="00417115"/>
    <w:rsid w:val="00417356"/>
    <w:rsid w:val="004173B2"/>
    <w:rsid w:val="00417D28"/>
    <w:rsid w:val="00420117"/>
    <w:rsid w:val="00420988"/>
    <w:rsid w:val="00420BD5"/>
    <w:rsid w:val="00420C09"/>
    <w:rsid w:val="00420C85"/>
    <w:rsid w:val="00420E8B"/>
    <w:rsid w:val="00421185"/>
    <w:rsid w:val="004211BF"/>
    <w:rsid w:val="0042134E"/>
    <w:rsid w:val="0042143B"/>
    <w:rsid w:val="00421513"/>
    <w:rsid w:val="004215E0"/>
    <w:rsid w:val="004218CD"/>
    <w:rsid w:val="004219A7"/>
    <w:rsid w:val="00421BDF"/>
    <w:rsid w:val="00421BF5"/>
    <w:rsid w:val="00421C2B"/>
    <w:rsid w:val="00421DCF"/>
    <w:rsid w:val="00421F9C"/>
    <w:rsid w:val="00421FC9"/>
    <w:rsid w:val="004222FB"/>
    <w:rsid w:val="00422341"/>
    <w:rsid w:val="0042245A"/>
    <w:rsid w:val="00422811"/>
    <w:rsid w:val="00422885"/>
    <w:rsid w:val="004228B7"/>
    <w:rsid w:val="00422904"/>
    <w:rsid w:val="004229D5"/>
    <w:rsid w:val="00422D5E"/>
    <w:rsid w:val="00422D72"/>
    <w:rsid w:val="00423030"/>
    <w:rsid w:val="00423641"/>
    <w:rsid w:val="0042366F"/>
    <w:rsid w:val="004237D8"/>
    <w:rsid w:val="0042394C"/>
    <w:rsid w:val="00423BC4"/>
    <w:rsid w:val="00423C33"/>
    <w:rsid w:val="00423E32"/>
    <w:rsid w:val="00423F11"/>
    <w:rsid w:val="00423F7C"/>
    <w:rsid w:val="00424877"/>
    <w:rsid w:val="0042488A"/>
    <w:rsid w:val="00424A4B"/>
    <w:rsid w:val="00424C97"/>
    <w:rsid w:val="004256C0"/>
    <w:rsid w:val="004257DF"/>
    <w:rsid w:val="004258BF"/>
    <w:rsid w:val="00425B3D"/>
    <w:rsid w:val="00425DA7"/>
    <w:rsid w:val="00426106"/>
    <w:rsid w:val="00426266"/>
    <w:rsid w:val="004263FD"/>
    <w:rsid w:val="004264D5"/>
    <w:rsid w:val="004264E1"/>
    <w:rsid w:val="00426677"/>
    <w:rsid w:val="0042688A"/>
    <w:rsid w:val="00426A17"/>
    <w:rsid w:val="0042713E"/>
    <w:rsid w:val="00427145"/>
    <w:rsid w:val="0042729F"/>
    <w:rsid w:val="00427966"/>
    <w:rsid w:val="004302D0"/>
    <w:rsid w:val="0043030E"/>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298"/>
    <w:rsid w:val="0043237F"/>
    <w:rsid w:val="0043241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5274"/>
    <w:rsid w:val="004352AD"/>
    <w:rsid w:val="0043531F"/>
    <w:rsid w:val="0043545D"/>
    <w:rsid w:val="004356D6"/>
    <w:rsid w:val="00435875"/>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F85"/>
    <w:rsid w:val="00436FE1"/>
    <w:rsid w:val="004371AF"/>
    <w:rsid w:val="004372A3"/>
    <w:rsid w:val="004372BD"/>
    <w:rsid w:val="0043766F"/>
    <w:rsid w:val="00437B8F"/>
    <w:rsid w:val="00437D7A"/>
    <w:rsid w:val="00437E05"/>
    <w:rsid w:val="00437EA5"/>
    <w:rsid w:val="00437FBA"/>
    <w:rsid w:val="00440196"/>
    <w:rsid w:val="004402DA"/>
    <w:rsid w:val="0044070A"/>
    <w:rsid w:val="00440B99"/>
    <w:rsid w:val="00441255"/>
    <w:rsid w:val="004416F0"/>
    <w:rsid w:val="00441EC4"/>
    <w:rsid w:val="0044201B"/>
    <w:rsid w:val="00442034"/>
    <w:rsid w:val="0044204D"/>
    <w:rsid w:val="0044232C"/>
    <w:rsid w:val="00442375"/>
    <w:rsid w:val="004424B1"/>
    <w:rsid w:val="004424F4"/>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DA6"/>
    <w:rsid w:val="00445021"/>
    <w:rsid w:val="00445317"/>
    <w:rsid w:val="0044531A"/>
    <w:rsid w:val="00445618"/>
    <w:rsid w:val="004459D5"/>
    <w:rsid w:val="004459EC"/>
    <w:rsid w:val="00445CF4"/>
    <w:rsid w:val="00445EAC"/>
    <w:rsid w:val="004461D9"/>
    <w:rsid w:val="00446539"/>
    <w:rsid w:val="004466C1"/>
    <w:rsid w:val="004469B8"/>
    <w:rsid w:val="00446AC6"/>
    <w:rsid w:val="00446CA1"/>
    <w:rsid w:val="00447035"/>
    <w:rsid w:val="0044707F"/>
    <w:rsid w:val="00447100"/>
    <w:rsid w:val="00447534"/>
    <w:rsid w:val="0044754F"/>
    <w:rsid w:val="00447587"/>
    <w:rsid w:val="0044759B"/>
    <w:rsid w:val="0044796F"/>
    <w:rsid w:val="00447B29"/>
    <w:rsid w:val="00447C3D"/>
    <w:rsid w:val="00447F54"/>
    <w:rsid w:val="00450192"/>
    <w:rsid w:val="00450269"/>
    <w:rsid w:val="00450461"/>
    <w:rsid w:val="004506B2"/>
    <w:rsid w:val="00450700"/>
    <w:rsid w:val="00450826"/>
    <w:rsid w:val="00450A81"/>
    <w:rsid w:val="00450A85"/>
    <w:rsid w:val="00450B7E"/>
    <w:rsid w:val="00450BC6"/>
    <w:rsid w:val="00450CCF"/>
    <w:rsid w:val="00450F8F"/>
    <w:rsid w:val="0045100C"/>
    <w:rsid w:val="0045112E"/>
    <w:rsid w:val="0045136B"/>
    <w:rsid w:val="004518BC"/>
    <w:rsid w:val="00451A74"/>
    <w:rsid w:val="00451C7E"/>
    <w:rsid w:val="004521F5"/>
    <w:rsid w:val="0045227E"/>
    <w:rsid w:val="00452391"/>
    <w:rsid w:val="0045287D"/>
    <w:rsid w:val="00452915"/>
    <w:rsid w:val="004529CC"/>
    <w:rsid w:val="0045316F"/>
    <w:rsid w:val="004535A3"/>
    <w:rsid w:val="004535D0"/>
    <w:rsid w:val="00453850"/>
    <w:rsid w:val="00453904"/>
    <w:rsid w:val="004539F6"/>
    <w:rsid w:val="00453A89"/>
    <w:rsid w:val="00453BAB"/>
    <w:rsid w:val="00453BB6"/>
    <w:rsid w:val="00453CAA"/>
    <w:rsid w:val="00453DB8"/>
    <w:rsid w:val="00453F39"/>
    <w:rsid w:val="004546EE"/>
    <w:rsid w:val="00454717"/>
    <w:rsid w:val="00455113"/>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528"/>
    <w:rsid w:val="004605C4"/>
    <w:rsid w:val="004608A2"/>
    <w:rsid w:val="00460978"/>
    <w:rsid w:val="00460AF3"/>
    <w:rsid w:val="00460BAF"/>
    <w:rsid w:val="00460C4D"/>
    <w:rsid w:val="00460CC3"/>
    <w:rsid w:val="00460E86"/>
    <w:rsid w:val="00460EF4"/>
    <w:rsid w:val="004617DD"/>
    <w:rsid w:val="004619AF"/>
    <w:rsid w:val="00461A27"/>
    <w:rsid w:val="00461CAC"/>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432D"/>
    <w:rsid w:val="004643BE"/>
    <w:rsid w:val="004644FF"/>
    <w:rsid w:val="004646A9"/>
    <w:rsid w:val="004646B4"/>
    <w:rsid w:val="0046486E"/>
    <w:rsid w:val="00464A88"/>
    <w:rsid w:val="00464C08"/>
    <w:rsid w:val="00464D6C"/>
    <w:rsid w:val="00464E20"/>
    <w:rsid w:val="00465050"/>
    <w:rsid w:val="004651A0"/>
    <w:rsid w:val="00465256"/>
    <w:rsid w:val="004652DB"/>
    <w:rsid w:val="00465704"/>
    <w:rsid w:val="0046587E"/>
    <w:rsid w:val="004659EB"/>
    <w:rsid w:val="004662B3"/>
    <w:rsid w:val="00466481"/>
    <w:rsid w:val="00466532"/>
    <w:rsid w:val="00466561"/>
    <w:rsid w:val="00466743"/>
    <w:rsid w:val="004667E7"/>
    <w:rsid w:val="00466896"/>
    <w:rsid w:val="004669AF"/>
    <w:rsid w:val="00466ACB"/>
    <w:rsid w:val="00466AF3"/>
    <w:rsid w:val="00467090"/>
    <w:rsid w:val="00467187"/>
    <w:rsid w:val="004671BB"/>
    <w:rsid w:val="00467488"/>
    <w:rsid w:val="00467549"/>
    <w:rsid w:val="004677D4"/>
    <w:rsid w:val="00467838"/>
    <w:rsid w:val="0047051A"/>
    <w:rsid w:val="0047077A"/>
    <w:rsid w:val="00470787"/>
    <w:rsid w:val="00470788"/>
    <w:rsid w:val="0047083E"/>
    <w:rsid w:val="00470930"/>
    <w:rsid w:val="00470CBC"/>
    <w:rsid w:val="00470EB5"/>
    <w:rsid w:val="00470FB2"/>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55B"/>
    <w:rsid w:val="004725F8"/>
    <w:rsid w:val="0047273C"/>
    <w:rsid w:val="0047286B"/>
    <w:rsid w:val="004728F2"/>
    <w:rsid w:val="00472E27"/>
    <w:rsid w:val="0047354A"/>
    <w:rsid w:val="00473603"/>
    <w:rsid w:val="004737E7"/>
    <w:rsid w:val="00473D15"/>
    <w:rsid w:val="0047406A"/>
    <w:rsid w:val="004740E4"/>
    <w:rsid w:val="00474198"/>
    <w:rsid w:val="004741E2"/>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39C"/>
    <w:rsid w:val="00477C0D"/>
    <w:rsid w:val="00477C35"/>
    <w:rsid w:val="00477C49"/>
    <w:rsid w:val="00477C8A"/>
    <w:rsid w:val="00477D0F"/>
    <w:rsid w:val="00477E44"/>
    <w:rsid w:val="00477E68"/>
    <w:rsid w:val="00477F24"/>
    <w:rsid w:val="00477F3B"/>
    <w:rsid w:val="00480783"/>
    <w:rsid w:val="00480988"/>
    <w:rsid w:val="00480C58"/>
    <w:rsid w:val="00480E05"/>
    <w:rsid w:val="00481580"/>
    <w:rsid w:val="004816BB"/>
    <w:rsid w:val="004817CB"/>
    <w:rsid w:val="00481A07"/>
    <w:rsid w:val="00481BAD"/>
    <w:rsid w:val="00482063"/>
    <w:rsid w:val="004821F6"/>
    <w:rsid w:val="00482636"/>
    <w:rsid w:val="00482759"/>
    <w:rsid w:val="004827DA"/>
    <w:rsid w:val="00482824"/>
    <w:rsid w:val="00482BBE"/>
    <w:rsid w:val="00482CD1"/>
    <w:rsid w:val="004833FF"/>
    <w:rsid w:val="004838BD"/>
    <w:rsid w:val="00483A12"/>
    <w:rsid w:val="00483B7C"/>
    <w:rsid w:val="00483BC2"/>
    <w:rsid w:val="00483CDC"/>
    <w:rsid w:val="00483E43"/>
    <w:rsid w:val="00483E5F"/>
    <w:rsid w:val="00483F07"/>
    <w:rsid w:val="004842AC"/>
    <w:rsid w:val="0048471A"/>
    <w:rsid w:val="0048479C"/>
    <w:rsid w:val="00484A77"/>
    <w:rsid w:val="00484BE0"/>
    <w:rsid w:val="00484D0D"/>
    <w:rsid w:val="004850B1"/>
    <w:rsid w:val="004850C0"/>
    <w:rsid w:val="00485394"/>
    <w:rsid w:val="0048540F"/>
    <w:rsid w:val="0048596D"/>
    <w:rsid w:val="00485970"/>
    <w:rsid w:val="00485AC1"/>
    <w:rsid w:val="00485B7E"/>
    <w:rsid w:val="00485BB3"/>
    <w:rsid w:val="00485C0D"/>
    <w:rsid w:val="00485DDD"/>
    <w:rsid w:val="00486575"/>
    <w:rsid w:val="004866D0"/>
    <w:rsid w:val="004868B0"/>
    <w:rsid w:val="00486936"/>
    <w:rsid w:val="00486A47"/>
    <w:rsid w:val="00486C6A"/>
    <w:rsid w:val="00486EBD"/>
    <w:rsid w:val="0048707F"/>
    <w:rsid w:val="0048755E"/>
    <w:rsid w:val="00487593"/>
    <w:rsid w:val="004875D1"/>
    <w:rsid w:val="0048764E"/>
    <w:rsid w:val="00487765"/>
    <w:rsid w:val="00487877"/>
    <w:rsid w:val="004878E9"/>
    <w:rsid w:val="00487C49"/>
    <w:rsid w:val="00487F3F"/>
    <w:rsid w:val="004901D6"/>
    <w:rsid w:val="004905A4"/>
    <w:rsid w:val="00490CE3"/>
    <w:rsid w:val="00490E97"/>
    <w:rsid w:val="00490F81"/>
    <w:rsid w:val="00491000"/>
    <w:rsid w:val="0049101A"/>
    <w:rsid w:val="00491120"/>
    <w:rsid w:val="0049124F"/>
    <w:rsid w:val="004912BF"/>
    <w:rsid w:val="004914F9"/>
    <w:rsid w:val="00491554"/>
    <w:rsid w:val="004916AB"/>
    <w:rsid w:val="00491A06"/>
    <w:rsid w:val="00491C51"/>
    <w:rsid w:val="0049207F"/>
    <w:rsid w:val="004920B8"/>
    <w:rsid w:val="004920DE"/>
    <w:rsid w:val="00492129"/>
    <w:rsid w:val="00492136"/>
    <w:rsid w:val="00492417"/>
    <w:rsid w:val="004924B5"/>
    <w:rsid w:val="00492535"/>
    <w:rsid w:val="00492D80"/>
    <w:rsid w:val="00492FA6"/>
    <w:rsid w:val="00493384"/>
    <w:rsid w:val="00493395"/>
    <w:rsid w:val="004933A9"/>
    <w:rsid w:val="00493AE9"/>
    <w:rsid w:val="00493AF3"/>
    <w:rsid w:val="00493D9C"/>
    <w:rsid w:val="004941BB"/>
    <w:rsid w:val="00494242"/>
    <w:rsid w:val="004944B0"/>
    <w:rsid w:val="00494657"/>
    <w:rsid w:val="00494860"/>
    <w:rsid w:val="00494C5F"/>
    <w:rsid w:val="00494D1F"/>
    <w:rsid w:val="00494DF7"/>
    <w:rsid w:val="00494E8E"/>
    <w:rsid w:val="0049525C"/>
    <w:rsid w:val="00495402"/>
    <w:rsid w:val="004955BC"/>
    <w:rsid w:val="0049564C"/>
    <w:rsid w:val="004958CF"/>
    <w:rsid w:val="00495D63"/>
    <w:rsid w:val="00495E6B"/>
    <w:rsid w:val="00495F41"/>
    <w:rsid w:val="0049629E"/>
    <w:rsid w:val="0049648F"/>
    <w:rsid w:val="00496534"/>
    <w:rsid w:val="0049657B"/>
    <w:rsid w:val="00496606"/>
    <w:rsid w:val="00496A6B"/>
    <w:rsid w:val="00496B54"/>
    <w:rsid w:val="00496CE3"/>
    <w:rsid w:val="00496D80"/>
    <w:rsid w:val="00496E86"/>
    <w:rsid w:val="00496F05"/>
    <w:rsid w:val="00497154"/>
    <w:rsid w:val="00497370"/>
    <w:rsid w:val="004973AD"/>
    <w:rsid w:val="00497742"/>
    <w:rsid w:val="0049780D"/>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B"/>
    <w:rsid w:val="004A3BEA"/>
    <w:rsid w:val="004A3BF1"/>
    <w:rsid w:val="004A3E42"/>
    <w:rsid w:val="004A3E7B"/>
    <w:rsid w:val="004A3FB9"/>
    <w:rsid w:val="004A41E2"/>
    <w:rsid w:val="004A43E9"/>
    <w:rsid w:val="004A4578"/>
    <w:rsid w:val="004A4715"/>
    <w:rsid w:val="004A4746"/>
    <w:rsid w:val="004A47A5"/>
    <w:rsid w:val="004A4841"/>
    <w:rsid w:val="004A4B53"/>
    <w:rsid w:val="004A4BDB"/>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D32"/>
    <w:rsid w:val="004A7092"/>
    <w:rsid w:val="004A70EA"/>
    <w:rsid w:val="004A7263"/>
    <w:rsid w:val="004A747D"/>
    <w:rsid w:val="004A766E"/>
    <w:rsid w:val="004A7861"/>
    <w:rsid w:val="004A78AC"/>
    <w:rsid w:val="004A7A30"/>
    <w:rsid w:val="004A7ACC"/>
    <w:rsid w:val="004A7B55"/>
    <w:rsid w:val="004A7C18"/>
    <w:rsid w:val="004A7CD1"/>
    <w:rsid w:val="004A7D39"/>
    <w:rsid w:val="004A7DBB"/>
    <w:rsid w:val="004A7F42"/>
    <w:rsid w:val="004A7F6E"/>
    <w:rsid w:val="004B029F"/>
    <w:rsid w:val="004B09CF"/>
    <w:rsid w:val="004B0AC5"/>
    <w:rsid w:val="004B0B2E"/>
    <w:rsid w:val="004B0C92"/>
    <w:rsid w:val="004B0FF7"/>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EDA"/>
    <w:rsid w:val="004B2F3A"/>
    <w:rsid w:val="004B30E0"/>
    <w:rsid w:val="004B3891"/>
    <w:rsid w:val="004B3987"/>
    <w:rsid w:val="004B3B2D"/>
    <w:rsid w:val="004B3CE8"/>
    <w:rsid w:val="004B4074"/>
    <w:rsid w:val="004B4185"/>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494"/>
    <w:rsid w:val="004B551A"/>
    <w:rsid w:val="004B558F"/>
    <w:rsid w:val="004B568D"/>
    <w:rsid w:val="004B5884"/>
    <w:rsid w:val="004B5949"/>
    <w:rsid w:val="004B5A04"/>
    <w:rsid w:val="004B5AEA"/>
    <w:rsid w:val="004B617D"/>
    <w:rsid w:val="004B619A"/>
    <w:rsid w:val="004B6404"/>
    <w:rsid w:val="004B692B"/>
    <w:rsid w:val="004B6963"/>
    <w:rsid w:val="004B6A3A"/>
    <w:rsid w:val="004B6CE7"/>
    <w:rsid w:val="004B6D38"/>
    <w:rsid w:val="004B6D63"/>
    <w:rsid w:val="004B71C7"/>
    <w:rsid w:val="004B7457"/>
    <w:rsid w:val="004B788C"/>
    <w:rsid w:val="004B7F0D"/>
    <w:rsid w:val="004C012F"/>
    <w:rsid w:val="004C01A8"/>
    <w:rsid w:val="004C026E"/>
    <w:rsid w:val="004C029B"/>
    <w:rsid w:val="004C0722"/>
    <w:rsid w:val="004C0864"/>
    <w:rsid w:val="004C0913"/>
    <w:rsid w:val="004C0B8A"/>
    <w:rsid w:val="004C0E01"/>
    <w:rsid w:val="004C126E"/>
    <w:rsid w:val="004C12E7"/>
    <w:rsid w:val="004C1518"/>
    <w:rsid w:val="004C159E"/>
    <w:rsid w:val="004C15C3"/>
    <w:rsid w:val="004C1840"/>
    <w:rsid w:val="004C18EE"/>
    <w:rsid w:val="004C1B39"/>
    <w:rsid w:val="004C1EFE"/>
    <w:rsid w:val="004C23A7"/>
    <w:rsid w:val="004C23E9"/>
    <w:rsid w:val="004C24C9"/>
    <w:rsid w:val="004C251D"/>
    <w:rsid w:val="004C25A1"/>
    <w:rsid w:val="004C25DE"/>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E5A"/>
    <w:rsid w:val="004C6E73"/>
    <w:rsid w:val="004C6E7E"/>
    <w:rsid w:val="004C6F7B"/>
    <w:rsid w:val="004C7056"/>
    <w:rsid w:val="004C7208"/>
    <w:rsid w:val="004C7278"/>
    <w:rsid w:val="004C7529"/>
    <w:rsid w:val="004C75D0"/>
    <w:rsid w:val="004C765C"/>
    <w:rsid w:val="004C77CF"/>
    <w:rsid w:val="004C7948"/>
    <w:rsid w:val="004C7BB8"/>
    <w:rsid w:val="004C7C3D"/>
    <w:rsid w:val="004C7C60"/>
    <w:rsid w:val="004D01A1"/>
    <w:rsid w:val="004D0244"/>
    <w:rsid w:val="004D0400"/>
    <w:rsid w:val="004D0482"/>
    <w:rsid w:val="004D0578"/>
    <w:rsid w:val="004D0711"/>
    <w:rsid w:val="004D08CD"/>
    <w:rsid w:val="004D0B99"/>
    <w:rsid w:val="004D0DFE"/>
    <w:rsid w:val="004D0F2C"/>
    <w:rsid w:val="004D1227"/>
    <w:rsid w:val="004D155B"/>
    <w:rsid w:val="004D1597"/>
    <w:rsid w:val="004D176F"/>
    <w:rsid w:val="004D17C8"/>
    <w:rsid w:val="004D1D3B"/>
    <w:rsid w:val="004D1D91"/>
    <w:rsid w:val="004D1FD9"/>
    <w:rsid w:val="004D212B"/>
    <w:rsid w:val="004D22C3"/>
    <w:rsid w:val="004D2429"/>
    <w:rsid w:val="004D27F1"/>
    <w:rsid w:val="004D296F"/>
    <w:rsid w:val="004D2977"/>
    <w:rsid w:val="004D2DEF"/>
    <w:rsid w:val="004D2E46"/>
    <w:rsid w:val="004D2ED3"/>
    <w:rsid w:val="004D2F8A"/>
    <w:rsid w:val="004D3162"/>
    <w:rsid w:val="004D32B4"/>
    <w:rsid w:val="004D3C1F"/>
    <w:rsid w:val="004D3C70"/>
    <w:rsid w:val="004D3DF9"/>
    <w:rsid w:val="004D3F0A"/>
    <w:rsid w:val="004D3F43"/>
    <w:rsid w:val="004D40E3"/>
    <w:rsid w:val="004D41DD"/>
    <w:rsid w:val="004D4342"/>
    <w:rsid w:val="004D44C5"/>
    <w:rsid w:val="004D485D"/>
    <w:rsid w:val="004D48A1"/>
    <w:rsid w:val="004D4A4D"/>
    <w:rsid w:val="004D4C28"/>
    <w:rsid w:val="004D4C31"/>
    <w:rsid w:val="004D4C83"/>
    <w:rsid w:val="004D4F84"/>
    <w:rsid w:val="004D50B8"/>
    <w:rsid w:val="004D532E"/>
    <w:rsid w:val="004D55D0"/>
    <w:rsid w:val="004D595D"/>
    <w:rsid w:val="004D5DF9"/>
    <w:rsid w:val="004D5F1B"/>
    <w:rsid w:val="004D640F"/>
    <w:rsid w:val="004D6449"/>
    <w:rsid w:val="004D686E"/>
    <w:rsid w:val="004D69D6"/>
    <w:rsid w:val="004D6C9A"/>
    <w:rsid w:val="004D6CF9"/>
    <w:rsid w:val="004D6F4D"/>
    <w:rsid w:val="004D6F95"/>
    <w:rsid w:val="004D72FE"/>
    <w:rsid w:val="004D780A"/>
    <w:rsid w:val="004D7882"/>
    <w:rsid w:val="004D7896"/>
    <w:rsid w:val="004D7AF3"/>
    <w:rsid w:val="004D7E07"/>
    <w:rsid w:val="004D7E7A"/>
    <w:rsid w:val="004D7E91"/>
    <w:rsid w:val="004E003A"/>
    <w:rsid w:val="004E0072"/>
    <w:rsid w:val="004E03DC"/>
    <w:rsid w:val="004E0411"/>
    <w:rsid w:val="004E04A8"/>
    <w:rsid w:val="004E06AA"/>
    <w:rsid w:val="004E0768"/>
    <w:rsid w:val="004E0972"/>
    <w:rsid w:val="004E0A62"/>
    <w:rsid w:val="004E0B0F"/>
    <w:rsid w:val="004E0B86"/>
    <w:rsid w:val="004E0F08"/>
    <w:rsid w:val="004E12A1"/>
    <w:rsid w:val="004E1340"/>
    <w:rsid w:val="004E1581"/>
    <w:rsid w:val="004E1797"/>
    <w:rsid w:val="004E1886"/>
    <w:rsid w:val="004E1938"/>
    <w:rsid w:val="004E1A31"/>
    <w:rsid w:val="004E1AE9"/>
    <w:rsid w:val="004E1C93"/>
    <w:rsid w:val="004E1E34"/>
    <w:rsid w:val="004E1E56"/>
    <w:rsid w:val="004E20E0"/>
    <w:rsid w:val="004E219A"/>
    <w:rsid w:val="004E2B27"/>
    <w:rsid w:val="004E2C5E"/>
    <w:rsid w:val="004E2DC5"/>
    <w:rsid w:val="004E2DE0"/>
    <w:rsid w:val="004E2F97"/>
    <w:rsid w:val="004E2F9F"/>
    <w:rsid w:val="004E30F9"/>
    <w:rsid w:val="004E31CC"/>
    <w:rsid w:val="004E33CC"/>
    <w:rsid w:val="004E3D4F"/>
    <w:rsid w:val="004E3F15"/>
    <w:rsid w:val="004E4060"/>
    <w:rsid w:val="004E409A"/>
    <w:rsid w:val="004E419E"/>
    <w:rsid w:val="004E424F"/>
    <w:rsid w:val="004E43B0"/>
    <w:rsid w:val="004E4481"/>
    <w:rsid w:val="004E44C8"/>
    <w:rsid w:val="004E44D2"/>
    <w:rsid w:val="004E47E7"/>
    <w:rsid w:val="004E4971"/>
    <w:rsid w:val="004E4D07"/>
    <w:rsid w:val="004E4D72"/>
    <w:rsid w:val="004E4E51"/>
    <w:rsid w:val="004E4F49"/>
    <w:rsid w:val="004E4F5F"/>
    <w:rsid w:val="004E51A4"/>
    <w:rsid w:val="004E522D"/>
    <w:rsid w:val="004E5503"/>
    <w:rsid w:val="004E55B5"/>
    <w:rsid w:val="004E55E5"/>
    <w:rsid w:val="004E5621"/>
    <w:rsid w:val="004E59AC"/>
    <w:rsid w:val="004E5A73"/>
    <w:rsid w:val="004E5E69"/>
    <w:rsid w:val="004E5F27"/>
    <w:rsid w:val="004E5FC7"/>
    <w:rsid w:val="004E60DF"/>
    <w:rsid w:val="004E664E"/>
    <w:rsid w:val="004E671C"/>
    <w:rsid w:val="004E6808"/>
    <w:rsid w:val="004E6E16"/>
    <w:rsid w:val="004E7222"/>
    <w:rsid w:val="004E73A2"/>
    <w:rsid w:val="004E7C0E"/>
    <w:rsid w:val="004E7E72"/>
    <w:rsid w:val="004F08F0"/>
    <w:rsid w:val="004F0A0A"/>
    <w:rsid w:val="004F0C7C"/>
    <w:rsid w:val="004F0D24"/>
    <w:rsid w:val="004F0D55"/>
    <w:rsid w:val="004F0FB9"/>
    <w:rsid w:val="004F15EA"/>
    <w:rsid w:val="004F16DC"/>
    <w:rsid w:val="004F17E2"/>
    <w:rsid w:val="004F189A"/>
    <w:rsid w:val="004F1952"/>
    <w:rsid w:val="004F1A76"/>
    <w:rsid w:val="004F1C4D"/>
    <w:rsid w:val="004F1CCA"/>
    <w:rsid w:val="004F1FF0"/>
    <w:rsid w:val="004F208A"/>
    <w:rsid w:val="004F266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545"/>
    <w:rsid w:val="004F5727"/>
    <w:rsid w:val="004F5AB6"/>
    <w:rsid w:val="004F5C03"/>
    <w:rsid w:val="004F6022"/>
    <w:rsid w:val="004F61E8"/>
    <w:rsid w:val="004F67DB"/>
    <w:rsid w:val="004F6BBC"/>
    <w:rsid w:val="004F6E67"/>
    <w:rsid w:val="004F7139"/>
    <w:rsid w:val="004F71C4"/>
    <w:rsid w:val="004F7523"/>
    <w:rsid w:val="004F7528"/>
    <w:rsid w:val="004F75CE"/>
    <w:rsid w:val="004F7756"/>
    <w:rsid w:val="004F7AF1"/>
    <w:rsid w:val="004F7B3D"/>
    <w:rsid w:val="004F7BCA"/>
    <w:rsid w:val="004F7D89"/>
    <w:rsid w:val="004F7DA8"/>
    <w:rsid w:val="0050017A"/>
    <w:rsid w:val="0050017F"/>
    <w:rsid w:val="00500288"/>
    <w:rsid w:val="00500A3A"/>
    <w:rsid w:val="00500BF4"/>
    <w:rsid w:val="00500DED"/>
    <w:rsid w:val="0050112A"/>
    <w:rsid w:val="00501181"/>
    <w:rsid w:val="005012A7"/>
    <w:rsid w:val="005012BA"/>
    <w:rsid w:val="0050139D"/>
    <w:rsid w:val="00501448"/>
    <w:rsid w:val="00501597"/>
    <w:rsid w:val="00501981"/>
    <w:rsid w:val="00501A85"/>
    <w:rsid w:val="00501BB3"/>
    <w:rsid w:val="00501EF1"/>
    <w:rsid w:val="0050209F"/>
    <w:rsid w:val="005020BF"/>
    <w:rsid w:val="005021DD"/>
    <w:rsid w:val="005026CA"/>
    <w:rsid w:val="00502878"/>
    <w:rsid w:val="00502A30"/>
    <w:rsid w:val="00502B72"/>
    <w:rsid w:val="00502DE6"/>
    <w:rsid w:val="005030C2"/>
    <w:rsid w:val="00503126"/>
    <w:rsid w:val="0050327B"/>
    <w:rsid w:val="0050333A"/>
    <w:rsid w:val="00503507"/>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C62"/>
    <w:rsid w:val="00504D58"/>
    <w:rsid w:val="0050509E"/>
    <w:rsid w:val="00505134"/>
    <w:rsid w:val="00505818"/>
    <w:rsid w:val="0050581C"/>
    <w:rsid w:val="00505C04"/>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68"/>
    <w:rsid w:val="005102F8"/>
    <w:rsid w:val="00510543"/>
    <w:rsid w:val="005108E3"/>
    <w:rsid w:val="00510911"/>
    <w:rsid w:val="00510C72"/>
    <w:rsid w:val="00510C7F"/>
    <w:rsid w:val="005116D4"/>
    <w:rsid w:val="0051177D"/>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2A"/>
    <w:rsid w:val="00513D6D"/>
    <w:rsid w:val="00513F99"/>
    <w:rsid w:val="0051427A"/>
    <w:rsid w:val="005142CD"/>
    <w:rsid w:val="005142CE"/>
    <w:rsid w:val="00514364"/>
    <w:rsid w:val="005143C9"/>
    <w:rsid w:val="00514CC2"/>
    <w:rsid w:val="00514D3A"/>
    <w:rsid w:val="00514E03"/>
    <w:rsid w:val="00514EDC"/>
    <w:rsid w:val="005157A9"/>
    <w:rsid w:val="00515881"/>
    <w:rsid w:val="00515CCB"/>
    <w:rsid w:val="00516232"/>
    <w:rsid w:val="005163DD"/>
    <w:rsid w:val="00516786"/>
    <w:rsid w:val="00516C70"/>
    <w:rsid w:val="005173A7"/>
    <w:rsid w:val="005173C1"/>
    <w:rsid w:val="00517636"/>
    <w:rsid w:val="005176AB"/>
    <w:rsid w:val="005177E1"/>
    <w:rsid w:val="00517DA7"/>
    <w:rsid w:val="0052007E"/>
    <w:rsid w:val="00520507"/>
    <w:rsid w:val="005206BA"/>
    <w:rsid w:val="0052085D"/>
    <w:rsid w:val="0052097B"/>
    <w:rsid w:val="00520A60"/>
    <w:rsid w:val="00520C0A"/>
    <w:rsid w:val="00520D05"/>
    <w:rsid w:val="00520E9A"/>
    <w:rsid w:val="00520EE6"/>
    <w:rsid w:val="00521179"/>
    <w:rsid w:val="0052123A"/>
    <w:rsid w:val="0052146E"/>
    <w:rsid w:val="00521708"/>
    <w:rsid w:val="005218B6"/>
    <w:rsid w:val="00521EF2"/>
    <w:rsid w:val="00521F95"/>
    <w:rsid w:val="00521FCB"/>
    <w:rsid w:val="00522011"/>
    <w:rsid w:val="005222CC"/>
    <w:rsid w:val="00522589"/>
    <w:rsid w:val="00522BE7"/>
    <w:rsid w:val="00522CAF"/>
    <w:rsid w:val="00522D04"/>
    <w:rsid w:val="00522E70"/>
    <w:rsid w:val="00522F32"/>
    <w:rsid w:val="005230CC"/>
    <w:rsid w:val="005233E6"/>
    <w:rsid w:val="005233F8"/>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7200"/>
    <w:rsid w:val="005273B9"/>
    <w:rsid w:val="005274E4"/>
    <w:rsid w:val="00527555"/>
    <w:rsid w:val="0052776B"/>
    <w:rsid w:val="005277CB"/>
    <w:rsid w:val="00527A54"/>
    <w:rsid w:val="00527B0F"/>
    <w:rsid w:val="00527D1F"/>
    <w:rsid w:val="00527D3A"/>
    <w:rsid w:val="00527D73"/>
    <w:rsid w:val="00530157"/>
    <w:rsid w:val="005304E6"/>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D11"/>
    <w:rsid w:val="00532EDB"/>
    <w:rsid w:val="00532F8B"/>
    <w:rsid w:val="005331D2"/>
    <w:rsid w:val="005332E4"/>
    <w:rsid w:val="00533529"/>
    <w:rsid w:val="00533681"/>
    <w:rsid w:val="0053370B"/>
    <w:rsid w:val="00533737"/>
    <w:rsid w:val="00533A3C"/>
    <w:rsid w:val="00533AE5"/>
    <w:rsid w:val="00533BCA"/>
    <w:rsid w:val="00533D7E"/>
    <w:rsid w:val="00533DA2"/>
    <w:rsid w:val="00533DC0"/>
    <w:rsid w:val="005340A4"/>
    <w:rsid w:val="005340BF"/>
    <w:rsid w:val="005343FB"/>
    <w:rsid w:val="0053441F"/>
    <w:rsid w:val="005347C2"/>
    <w:rsid w:val="00534903"/>
    <w:rsid w:val="0053490B"/>
    <w:rsid w:val="00534985"/>
    <w:rsid w:val="00534DC3"/>
    <w:rsid w:val="00534F1E"/>
    <w:rsid w:val="0053531F"/>
    <w:rsid w:val="0053552C"/>
    <w:rsid w:val="00535862"/>
    <w:rsid w:val="005358DB"/>
    <w:rsid w:val="005359E6"/>
    <w:rsid w:val="00535A53"/>
    <w:rsid w:val="00535B1F"/>
    <w:rsid w:val="00535B79"/>
    <w:rsid w:val="00535C33"/>
    <w:rsid w:val="00535D7C"/>
    <w:rsid w:val="00536171"/>
    <w:rsid w:val="005361C3"/>
    <w:rsid w:val="00536219"/>
    <w:rsid w:val="0053647A"/>
    <w:rsid w:val="00536579"/>
    <w:rsid w:val="005365ED"/>
    <w:rsid w:val="00536C1E"/>
    <w:rsid w:val="00536DE8"/>
    <w:rsid w:val="00536DF4"/>
    <w:rsid w:val="00537047"/>
    <w:rsid w:val="0053712D"/>
    <w:rsid w:val="005372CF"/>
    <w:rsid w:val="005372E6"/>
    <w:rsid w:val="00537532"/>
    <w:rsid w:val="005378F9"/>
    <w:rsid w:val="00537914"/>
    <w:rsid w:val="00537BCA"/>
    <w:rsid w:val="00537BCE"/>
    <w:rsid w:val="00537F35"/>
    <w:rsid w:val="00537F4B"/>
    <w:rsid w:val="00540003"/>
    <w:rsid w:val="005403AA"/>
    <w:rsid w:val="0054049A"/>
    <w:rsid w:val="00540891"/>
    <w:rsid w:val="00540909"/>
    <w:rsid w:val="00540A22"/>
    <w:rsid w:val="00540B22"/>
    <w:rsid w:val="00540EF2"/>
    <w:rsid w:val="00541053"/>
    <w:rsid w:val="0054118F"/>
    <w:rsid w:val="00541227"/>
    <w:rsid w:val="0054157F"/>
    <w:rsid w:val="0054165E"/>
    <w:rsid w:val="0054166A"/>
    <w:rsid w:val="0054199F"/>
    <w:rsid w:val="005419F9"/>
    <w:rsid w:val="00541B53"/>
    <w:rsid w:val="00541E86"/>
    <w:rsid w:val="00542060"/>
    <w:rsid w:val="005423F8"/>
    <w:rsid w:val="0054268B"/>
    <w:rsid w:val="0054291C"/>
    <w:rsid w:val="00542A39"/>
    <w:rsid w:val="00542AC5"/>
    <w:rsid w:val="00542B81"/>
    <w:rsid w:val="00542DEA"/>
    <w:rsid w:val="00543029"/>
    <w:rsid w:val="005430FF"/>
    <w:rsid w:val="00543207"/>
    <w:rsid w:val="00543223"/>
    <w:rsid w:val="00543325"/>
    <w:rsid w:val="005433B3"/>
    <w:rsid w:val="0054343A"/>
    <w:rsid w:val="005436D9"/>
    <w:rsid w:val="00543974"/>
    <w:rsid w:val="00543A44"/>
    <w:rsid w:val="00543ADD"/>
    <w:rsid w:val="00543E49"/>
    <w:rsid w:val="00543EBF"/>
    <w:rsid w:val="005444E0"/>
    <w:rsid w:val="0054471D"/>
    <w:rsid w:val="0054478B"/>
    <w:rsid w:val="00544ABA"/>
    <w:rsid w:val="00545265"/>
    <w:rsid w:val="005454CB"/>
    <w:rsid w:val="00545679"/>
    <w:rsid w:val="0054593A"/>
    <w:rsid w:val="00545B67"/>
    <w:rsid w:val="00545FDC"/>
    <w:rsid w:val="0054611E"/>
    <w:rsid w:val="00546196"/>
    <w:rsid w:val="00546361"/>
    <w:rsid w:val="0054668B"/>
    <w:rsid w:val="005467DD"/>
    <w:rsid w:val="005467FB"/>
    <w:rsid w:val="00546A0B"/>
    <w:rsid w:val="00546AE9"/>
    <w:rsid w:val="00546D35"/>
    <w:rsid w:val="00547136"/>
    <w:rsid w:val="005471EA"/>
    <w:rsid w:val="0054752D"/>
    <w:rsid w:val="00547645"/>
    <w:rsid w:val="00547673"/>
    <w:rsid w:val="005476EB"/>
    <w:rsid w:val="005478BD"/>
    <w:rsid w:val="00547989"/>
    <w:rsid w:val="005479EC"/>
    <w:rsid w:val="00547BB0"/>
    <w:rsid w:val="00547C89"/>
    <w:rsid w:val="005507B7"/>
    <w:rsid w:val="00550A80"/>
    <w:rsid w:val="00551320"/>
    <w:rsid w:val="005516BD"/>
    <w:rsid w:val="0055177C"/>
    <w:rsid w:val="00551813"/>
    <w:rsid w:val="005518A4"/>
    <w:rsid w:val="00551B70"/>
    <w:rsid w:val="00551BA5"/>
    <w:rsid w:val="00551BBD"/>
    <w:rsid w:val="00551DDE"/>
    <w:rsid w:val="00552191"/>
    <w:rsid w:val="005525E0"/>
    <w:rsid w:val="005526B2"/>
    <w:rsid w:val="00552768"/>
    <w:rsid w:val="00552935"/>
    <w:rsid w:val="00552952"/>
    <w:rsid w:val="00552F9C"/>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3DD"/>
    <w:rsid w:val="0055455F"/>
    <w:rsid w:val="005547E9"/>
    <w:rsid w:val="00554B54"/>
    <w:rsid w:val="00554BE7"/>
    <w:rsid w:val="00554C52"/>
    <w:rsid w:val="00554D3C"/>
    <w:rsid w:val="00554D86"/>
    <w:rsid w:val="0055554A"/>
    <w:rsid w:val="00555A3F"/>
    <w:rsid w:val="00555B95"/>
    <w:rsid w:val="0055611B"/>
    <w:rsid w:val="0055620C"/>
    <w:rsid w:val="005563E9"/>
    <w:rsid w:val="00556421"/>
    <w:rsid w:val="00556446"/>
    <w:rsid w:val="0055647D"/>
    <w:rsid w:val="00556BC4"/>
    <w:rsid w:val="00556D68"/>
    <w:rsid w:val="00556FA3"/>
    <w:rsid w:val="00556FE2"/>
    <w:rsid w:val="00557027"/>
    <w:rsid w:val="0055705A"/>
    <w:rsid w:val="00557173"/>
    <w:rsid w:val="00557352"/>
    <w:rsid w:val="005573BB"/>
    <w:rsid w:val="005574B0"/>
    <w:rsid w:val="005575B6"/>
    <w:rsid w:val="005576A1"/>
    <w:rsid w:val="00557779"/>
    <w:rsid w:val="00557A64"/>
    <w:rsid w:val="00557B06"/>
    <w:rsid w:val="00557BED"/>
    <w:rsid w:val="00557E23"/>
    <w:rsid w:val="00557EA2"/>
    <w:rsid w:val="00557EE7"/>
    <w:rsid w:val="00560167"/>
    <w:rsid w:val="0056037D"/>
    <w:rsid w:val="005605C0"/>
    <w:rsid w:val="00560752"/>
    <w:rsid w:val="00560BFE"/>
    <w:rsid w:val="00560CB7"/>
    <w:rsid w:val="00560D23"/>
    <w:rsid w:val="00560DDB"/>
    <w:rsid w:val="00560FDC"/>
    <w:rsid w:val="005613FA"/>
    <w:rsid w:val="005615D5"/>
    <w:rsid w:val="005615D8"/>
    <w:rsid w:val="005615D9"/>
    <w:rsid w:val="005616EF"/>
    <w:rsid w:val="0056192B"/>
    <w:rsid w:val="00561A72"/>
    <w:rsid w:val="00561B27"/>
    <w:rsid w:val="00561E5C"/>
    <w:rsid w:val="0056202A"/>
    <w:rsid w:val="00562272"/>
    <w:rsid w:val="005626D6"/>
    <w:rsid w:val="00562759"/>
    <w:rsid w:val="00562768"/>
    <w:rsid w:val="0056297C"/>
    <w:rsid w:val="00562F70"/>
    <w:rsid w:val="00562FA0"/>
    <w:rsid w:val="00562FAB"/>
    <w:rsid w:val="005630B3"/>
    <w:rsid w:val="0056348F"/>
    <w:rsid w:val="005638C6"/>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6ED"/>
    <w:rsid w:val="005659EF"/>
    <w:rsid w:val="00565C6E"/>
    <w:rsid w:val="00565C8B"/>
    <w:rsid w:val="00565D78"/>
    <w:rsid w:val="00566088"/>
    <w:rsid w:val="00566544"/>
    <w:rsid w:val="00566608"/>
    <w:rsid w:val="00566718"/>
    <w:rsid w:val="00566736"/>
    <w:rsid w:val="005668CD"/>
    <w:rsid w:val="00566B00"/>
    <w:rsid w:val="00566B4F"/>
    <w:rsid w:val="00566C83"/>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E24"/>
    <w:rsid w:val="00570FB4"/>
    <w:rsid w:val="0057102B"/>
    <w:rsid w:val="005710B4"/>
    <w:rsid w:val="00571844"/>
    <w:rsid w:val="0057233A"/>
    <w:rsid w:val="0057263B"/>
    <w:rsid w:val="00572760"/>
    <w:rsid w:val="00572A65"/>
    <w:rsid w:val="00572AF3"/>
    <w:rsid w:val="005733AD"/>
    <w:rsid w:val="00573B45"/>
    <w:rsid w:val="00573E79"/>
    <w:rsid w:val="005740DE"/>
    <w:rsid w:val="00574224"/>
    <w:rsid w:val="005743DE"/>
    <w:rsid w:val="00574534"/>
    <w:rsid w:val="005745F4"/>
    <w:rsid w:val="00574611"/>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578"/>
    <w:rsid w:val="005755E3"/>
    <w:rsid w:val="0057562C"/>
    <w:rsid w:val="005759F6"/>
    <w:rsid w:val="00575D41"/>
    <w:rsid w:val="00575E3E"/>
    <w:rsid w:val="00575FD1"/>
    <w:rsid w:val="00576290"/>
    <w:rsid w:val="005762F0"/>
    <w:rsid w:val="005763A9"/>
    <w:rsid w:val="0057653B"/>
    <w:rsid w:val="005765F5"/>
    <w:rsid w:val="005768E8"/>
    <w:rsid w:val="00576D44"/>
    <w:rsid w:val="00576D6C"/>
    <w:rsid w:val="005772C1"/>
    <w:rsid w:val="005772F7"/>
    <w:rsid w:val="00577838"/>
    <w:rsid w:val="00577A2E"/>
    <w:rsid w:val="00577B33"/>
    <w:rsid w:val="00577EF7"/>
    <w:rsid w:val="00580443"/>
    <w:rsid w:val="00580867"/>
    <w:rsid w:val="00580B5E"/>
    <w:rsid w:val="00580D15"/>
    <w:rsid w:val="00580E11"/>
    <w:rsid w:val="00580E48"/>
    <w:rsid w:val="00580F0A"/>
    <w:rsid w:val="00580F4E"/>
    <w:rsid w:val="00581246"/>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6B3"/>
    <w:rsid w:val="00584707"/>
    <w:rsid w:val="00584742"/>
    <w:rsid w:val="005847BF"/>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95D"/>
    <w:rsid w:val="00586DE5"/>
    <w:rsid w:val="00587052"/>
    <w:rsid w:val="005870E1"/>
    <w:rsid w:val="0058710E"/>
    <w:rsid w:val="0058722F"/>
    <w:rsid w:val="00587261"/>
    <w:rsid w:val="00587521"/>
    <w:rsid w:val="00587A67"/>
    <w:rsid w:val="00587ECB"/>
    <w:rsid w:val="00587F83"/>
    <w:rsid w:val="00587FC0"/>
    <w:rsid w:val="005906AD"/>
    <w:rsid w:val="005907DA"/>
    <w:rsid w:val="00590DA6"/>
    <w:rsid w:val="00590E0C"/>
    <w:rsid w:val="00590E37"/>
    <w:rsid w:val="00591186"/>
    <w:rsid w:val="00591772"/>
    <w:rsid w:val="00591778"/>
    <w:rsid w:val="00591909"/>
    <w:rsid w:val="005919C2"/>
    <w:rsid w:val="00591A7A"/>
    <w:rsid w:val="00591B84"/>
    <w:rsid w:val="00591BA3"/>
    <w:rsid w:val="00591BE3"/>
    <w:rsid w:val="00591C7D"/>
    <w:rsid w:val="00591D5C"/>
    <w:rsid w:val="00592403"/>
    <w:rsid w:val="00592651"/>
    <w:rsid w:val="005926A9"/>
    <w:rsid w:val="005928F6"/>
    <w:rsid w:val="00592B03"/>
    <w:rsid w:val="00592E83"/>
    <w:rsid w:val="00592EA7"/>
    <w:rsid w:val="00593056"/>
    <w:rsid w:val="00593111"/>
    <w:rsid w:val="00593379"/>
    <w:rsid w:val="00593422"/>
    <w:rsid w:val="00593471"/>
    <w:rsid w:val="0059376B"/>
    <w:rsid w:val="005937EC"/>
    <w:rsid w:val="00593A8D"/>
    <w:rsid w:val="00593AB9"/>
    <w:rsid w:val="00593B6B"/>
    <w:rsid w:val="00593BE9"/>
    <w:rsid w:val="00593D54"/>
    <w:rsid w:val="00593D79"/>
    <w:rsid w:val="00594681"/>
    <w:rsid w:val="00594853"/>
    <w:rsid w:val="00594A24"/>
    <w:rsid w:val="00594ABB"/>
    <w:rsid w:val="00594AD2"/>
    <w:rsid w:val="00594B8F"/>
    <w:rsid w:val="00594D1C"/>
    <w:rsid w:val="00594E36"/>
    <w:rsid w:val="00594F0A"/>
    <w:rsid w:val="0059525E"/>
    <w:rsid w:val="00595716"/>
    <w:rsid w:val="00595887"/>
    <w:rsid w:val="00595B97"/>
    <w:rsid w:val="00595D1B"/>
    <w:rsid w:val="00595ECD"/>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BC9"/>
    <w:rsid w:val="005A0D45"/>
    <w:rsid w:val="005A1004"/>
    <w:rsid w:val="005A10B9"/>
    <w:rsid w:val="005A1172"/>
    <w:rsid w:val="005A11EA"/>
    <w:rsid w:val="005A1226"/>
    <w:rsid w:val="005A12DC"/>
    <w:rsid w:val="005A13C2"/>
    <w:rsid w:val="005A1C21"/>
    <w:rsid w:val="005A1CB3"/>
    <w:rsid w:val="005A20B0"/>
    <w:rsid w:val="005A21E4"/>
    <w:rsid w:val="005A22C7"/>
    <w:rsid w:val="005A269F"/>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866"/>
    <w:rsid w:val="005B3A72"/>
    <w:rsid w:val="005B3C9E"/>
    <w:rsid w:val="005B3D4A"/>
    <w:rsid w:val="005B4128"/>
    <w:rsid w:val="005B4187"/>
    <w:rsid w:val="005B4281"/>
    <w:rsid w:val="005B4492"/>
    <w:rsid w:val="005B48BF"/>
    <w:rsid w:val="005B490C"/>
    <w:rsid w:val="005B4973"/>
    <w:rsid w:val="005B4AB8"/>
    <w:rsid w:val="005B4C01"/>
    <w:rsid w:val="005B4D87"/>
    <w:rsid w:val="005B4DAB"/>
    <w:rsid w:val="005B4EBD"/>
    <w:rsid w:val="005B5384"/>
    <w:rsid w:val="005B53A0"/>
    <w:rsid w:val="005B5565"/>
    <w:rsid w:val="005B57CB"/>
    <w:rsid w:val="005B59FD"/>
    <w:rsid w:val="005B5EEB"/>
    <w:rsid w:val="005B61D6"/>
    <w:rsid w:val="005B6200"/>
    <w:rsid w:val="005B68F8"/>
    <w:rsid w:val="005B6BB9"/>
    <w:rsid w:val="005B708C"/>
    <w:rsid w:val="005B7811"/>
    <w:rsid w:val="005B7C2E"/>
    <w:rsid w:val="005B7DD1"/>
    <w:rsid w:val="005B7F91"/>
    <w:rsid w:val="005C00A0"/>
    <w:rsid w:val="005C0375"/>
    <w:rsid w:val="005C039F"/>
    <w:rsid w:val="005C045C"/>
    <w:rsid w:val="005C045D"/>
    <w:rsid w:val="005C085A"/>
    <w:rsid w:val="005C0951"/>
    <w:rsid w:val="005C0A48"/>
    <w:rsid w:val="005C0CE1"/>
    <w:rsid w:val="005C0DD2"/>
    <w:rsid w:val="005C1122"/>
    <w:rsid w:val="005C1221"/>
    <w:rsid w:val="005C1374"/>
    <w:rsid w:val="005C14B8"/>
    <w:rsid w:val="005C1B92"/>
    <w:rsid w:val="005C1FC5"/>
    <w:rsid w:val="005C21B4"/>
    <w:rsid w:val="005C28FA"/>
    <w:rsid w:val="005C297A"/>
    <w:rsid w:val="005C2995"/>
    <w:rsid w:val="005C2ACF"/>
    <w:rsid w:val="005C2B46"/>
    <w:rsid w:val="005C2E03"/>
    <w:rsid w:val="005C2E7F"/>
    <w:rsid w:val="005C2ED6"/>
    <w:rsid w:val="005C31E7"/>
    <w:rsid w:val="005C34D8"/>
    <w:rsid w:val="005C40F4"/>
    <w:rsid w:val="005C43BE"/>
    <w:rsid w:val="005C441A"/>
    <w:rsid w:val="005C447D"/>
    <w:rsid w:val="005C44F3"/>
    <w:rsid w:val="005C491E"/>
    <w:rsid w:val="005C495F"/>
    <w:rsid w:val="005C4CCF"/>
    <w:rsid w:val="005C5475"/>
    <w:rsid w:val="005C5583"/>
    <w:rsid w:val="005C570F"/>
    <w:rsid w:val="005C5B30"/>
    <w:rsid w:val="005C5C06"/>
    <w:rsid w:val="005C5EAA"/>
    <w:rsid w:val="005C6383"/>
    <w:rsid w:val="005C66D3"/>
    <w:rsid w:val="005C6B29"/>
    <w:rsid w:val="005C6D8C"/>
    <w:rsid w:val="005C6E17"/>
    <w:rsid w:val="005C6E3E"/>
    <w:rsid w:val="005C6F4D"/>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471"/>
    <w:rsid w:val="005D1679"/>
    <w:rsid w:val="005D17FA"/>
    <w:rsid w:val="005D1820"/>
    <w:rsid w:val="005D18C9"/>
    <w:rsid w:val="005D1B73"/>
    <w:rsid w:val="005D1E2F"/>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94E"/>
    <w:rsid w:val="005D3D76"/>
    <w:rsid w:val="005D3DFA"/>
    <w:rsid w:val="005D3E26"/>
    <w:rsid w:val="005D4335"/>
    <w:rsid w:val="005D44FB"/>
    <w:rsid w:val="005D4578"/>
    <w:rsid w:val="005D4729"/>
    <w:rsid w:val="005D4755"/>
    <w:rsid w:val="005D498B"/>
    <w:rsid w:val="005D4C5C"/>
    <w:rsid w:val="005D4EFA"/>
    <w:rsid w:val="005D4F1B"/>
    <w:rsid w:val="005D55BA"/>
    <w:rsid w:val="005D55FF"/>
    <w:rsid w:val="005D5663"/>
    <w:rsid w:val="005D5A53"/>
    <w:rsid w:val="005D5ADB"/>
    <w:rsid w:val="005D5D22"/>
    <w:rsid w:val="005D5FAC"/>
    <w:rsid w:val="005D5FF6"/>
    <w:rsid w:val="005D609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CFF"/>
    <w:rsid w:val="005D7DD8"/>
    <w:rsid w:val="005D7E0D"/>
    <w:rsid w:val="005D7E61"/>
    <w:rsid w:val="005D7F97"/>
    <w:rsid w:val="005E00D2"/>
    <w:rsid w:val="005E030E"/>
    <w:rsid w:val="005E0312"/>
    <w:rsid w:val="005E049A"/>
    <w:rsid w:val="005E05CC"/>
    <w:rsid w:val="005E060C"/>
    <w:rsid w:val="005E0BAD"/>
    <w:rsid w:val="005E0C54"/>
    <w:rsid w:val="005E12B6"/>
    <w:rsid w:val="005E1AD2"/>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71"/>
    <w:rsid w:val="005E53F9"/>
    <w:rsid w:val="005E5748"/>
    <w:rsid w:val="005E57EE"/>
    <w:rsid w:val="005E5892"/>
    <w:rsid w:val="005E5EC9"/>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7D5"/>
    <w:rsid w:val="005F0813"/>
    <w:rsid w:val="005F08A2"/>
    <w:rsid w:val="005F08E8"/>
    <w:rsid w:val="005F0A43"/>
    <w:rsid w:val="005F0CBF"/>
    <w:rsid w:val="005F0F41"/>
    <w:rsid w:val="005F0F70"/>
    <w:rsid w:val="005F0FD0"/>
    <w:rsid w:val="005F1094"/>
    <w:rsid w:val="005F143B"/>
    <w:rsid w:val="005F16E0"/>
    <w:rsid w:val="005F171F"/>
    <w:rsid w:val="005F19C9"/>
    <w:rsid w:val="005F1BAB"/>
    <w:rsid w:val="005F1F2C"/>
    <w:rsid w:val="005F20B7"/>
    <w:rsid w:val="005F2354"/>
    <w:rsid w:val="005F2398"/>
    <w:rsid w:val="005F2409"/>
    <w:rsid w:val="005F2665"/>
    <w:rsid w:val="005F2671"/>
    <w:rsid w:val="005F27BF"/>
    <w:rsid w:val="005F2AFC"/>
    <w:rsid w:val="005F2B51"/>
    <w:rsid w:val="005F2BCC"/>
    <w:rsid w:val="005F2C22"/>
    <w:rsid w:val="005F3073"/>
    <w:rsid w:val="005F30B7"/>
    <w:rsid w:val="005F32BF"/>
    <w:rsid w:val="005F339C"/>
    <w:rsid w:val="005F37A8"/>
    <w:rsid w:val="005F3A4E"/>
    <w:rsid w:val="005F3A6B"/>
    <w:rsid w:val="005F3E58"/>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64A7"/>
    <w:rsid w:val="005F68B0"/>
    <w:rsid w:val="005F6B77"/>
    <w:rsid w:val="005F6DD4"/>
    <w:rsid w:val="005F6EF3"/>
    <w:rsid w:val="005F6F2D"/>
    <w:rsid w:val="005F7349"/>
    <w:rsid w:val="005F737A"/>
    <w:rsid w:val="005F7487"/>
    <w:rsid w:val="005F74BF"/>
    <w:rsid w:val="005F76D2"/>
    <w:rsid w:val="005F795D"/>
    <w:rsid w:val="005F7B61"/>
    <w:rsid w:val="005F7DDD"/>
    <w:rsid w:val="006000E2"/>
    <w:rsid w:val="006002C7"/>
    <w:rsid w:val="0060036F"/>
    <w:rsid w:val="0060075C"/>
    <w:rsid w:val="00600A8F"/>
    <w:rsid w:val="00600B09"/>
    <w:rsid w:val="00600CFD"/>
    <w:rsid w:val="00600D08"/>
    <w:rsid w:val="00600F95"/>
    <w:rsid w:val="006010DE"/>
    <w:rsid w:val="006011A0"/>
    <w:rsid w:val="006014BF"/>
    <w:rsid w:val="00601793"/>
    <w:rsid w:val="006017B6"/>
    <w:rsid w:val="00601839"/>
    <w:rsid w:val="00601BA5"/>
    <w:rsid w:val="00601C93"/>
    <w:rsid w:val="00601D49"/>
    <w:rsid w:val="00601EFF"/>
    <w:rsid w:val="00601F18"/>
    <w:rsid w:val="006023E4"/>
    <w:rsid w:val="00602759"/>
    <w:rsid w:val="0060277A"/>
    <w:rsid w:val="00602A43"/>
    <w:rsid w:val="00602A86"/>
    <w:rsid w:val="00602B19"/>
    <w:rsid w:val="00602B7C"/>
    <w:rsid w:val="00602BF4"/>
    <w:rsid w:val="00602DC6"/>
    <w:rsid w:val="00602FCB"/>
    <w:rsid w:val="00603032"/>
    <w:rsid w:val="0060316D"/>
    <w:rsid w:val="00603312"/>
    <w:rsid w:val="00603583"/>
    <w:rsid w:val="0060388D"/>
    <w:rsid w:val="00603A45"/>
    <w:rsid w:val="00603AA8"/>
    <w:rsid w:val="00603CE2"/>
    <w:rsid w:val="0060402B"/>
    <w:rsid w:val="006040BF"/>
    <w:rsid w:val="00604426"/>
    <w:rsid w:val="0060450F"/>
    <w:rsid w:val="00604784"/>
    <w:rsid w:val="00604AA4"/>
    <w:rsid w:val="00604C9D"/>
    <w:rsid w:val="00604CA9"/>
    <w:rsid w:val="00604DC7"/>
    <w:rsid w:val="00604E47"/>
    <w:rsid w:val="00605218"/>
    <w:rsid w:val="006052C7"/>
    <w:rsid w:val="00605441"/>
    <w:rsid w:val="006055BD"/>
    <w:rsid w:val="0060576E"/>
    <w:rsid w:val="00605AF6"/>
    <w:rsid w:val="00605B6D"/>
    <w:rsid w:val="00605C13"/>
    <w:rsid w:val="00605E49"/>
    <w:rsid w:val="00606007"/>
    <w:rsid w:val="00606014"/>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748"/>
    <w:rsid w:val="00607A2E"/>
    <w:rsid w:val="00607AEC"/>
    <w:rsid w:val="00607D7D"/>
    <w:rsid w:val="00607DD7"/>
    <w:rsid w:val="00610477"/>
    <w:rsid w:val="00610A9B"/>
    <w:rsid w:val="00610B60"/>
    <w:rsid w:val="00610B8D"/>
    <w:rsid w:val="00610BA4"/>
    <w:rsid w:val="00610BB9"/>
    <w:rsid w:val="00610C9F"/>
    <w:rsid w:val="006112C2"/>
    <w:rsid w:val="006114D6"/>
    <w:rsid w:val="006114F7"/>
    <w:rsid w:val="006118EE"/>
    <w:rsid w:val="00611B47"/>
    <w:rsid w:val="00611D77"/>
    <w:rsid w:val="00611DF5"/>
    <w:rsid w:val="00611E6C"/>
    <w:rsid w:val="006120DE"/>
    <w:rsid w:val="00612712"/>
    <w:rsid w:val="006127F1"/>
    <w:rsid w:val="00612A7A"/>
    <w:rsid w:val="00612AD7"/>
    <w:rsid w:val="006130F7"/>
    <w:rsid w:val="006131EF"/>
    <w:rsid w:val="00613353"/>
    <w:rsid w:val="00613AF8"/>
    <w:rsid w:val="00613B80"/>
    <w:rsid w:val="00613C75"/>
    <w:rsid w:val="00613D8E"/>
    <w:rsid w:val="00613F19"/>
    <w:rsid w:val="00614009"/>
    <w:rsid w:val="006140B4"/>
    <w:rsid w:val="006142E0"/>
    <w:rsid w:val="0061432A"/>
    <w:rsid w:val="006145CC"/>
    <w:rsid w:val="006149C6"/>
    <w:rsid w:val="00614B03"/>
    <w:rsid w:val="00615A47"/>
    <w:rsid w:val="00615E2A"/>
    <w:rsid w:val="00615FA4"/>
    <w:rsid w:val="00615FF4"/>
    <w:rsid w:val="00616037"/>
    <w:rsid w:val="00616112"/>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CB5"/>
    <w:rsid w:val="00620F01"/>
    <w:rsid w:val="00620F23"/>
    <w:rsid w:val="00621171"/>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3B"/>
    <w:rsid w:val="00624B92"/>
    <w:rsid w:val="00624C31"/>
    <w:rsid w:val="00624CE0"/>
    <w:rsid w:val="006253E8"/>
    <w:rsid w:val="006256CD"/>
    <w:rsid w:val="006258F3"/>
    <w:rsid w:val="00625985"/>
    <w:rsid w:val="00625C58"/>
    <w:rsid w:val="00625D95"/>
    <w:rsid w:val="00626246"/>
    <w:rsid w:val="006262D3"/>
    <w:rsid w:val="0062660B"/>
    <w:rsid w:val="006269F9"/>
    <w:rsid w:val="00626A62"/>
    <w:rsid w:val="00626AD1"/>
    <w:rsid w:val="00626B8D"/>
    <w:rsid w:val="00626F92"/>
    <w:rsid w:val="00627039"/>
    <w:rsid w:val="0062796A"/>
    <w:rsid w:val="00627BAD"/>
    <w:rsid w:val="00627F30"/>
    <w:rsid w:val="0063002B"/>
    <w:rsid w:val="00630239"/>
    <w:rsid w:val="006302FA"/>
    <w:rsid w:val="0063039F"/>
    <w:rsid w:val="006304BC"/>
    <w:rsid w:val="00630DCE"/>
    <w:rsid w:val="00630E1F"/>
    <w:rsid w:val="0063120A"/>
    <w:rsid w:val="006314A7"/>
    <w:rsid w:val="0063150B"/>
    <w:rsid w:val="00631585"/>
    <w:rsid w:val="006315A9"/>
    <w:rsid w:val="00631726"/>
    <w:rsid w:val="0063176F"/>
    <w:rsid w:val="00631C1E"/>
    <w:rsid w:val="00631D8E"/>
    <w:rsid w:val="00631F18"/>
    <w:rsid w:val="00632458"/>
    <w:rsid w:val="006328ED"/>
    <w:rsid w:val="00632D9C"/>
    <w:rsid w:val="00632E33"/>
    <w:rsid w:val="00632F6D"/>
    <w:rsid w:val="00632FC9"/>
    <w:rsid w:val="0063309E"/>
    <w:rsid w:val="00633416"/>
    <w:rsid w:val="0063354C"/>
    <w:rsid w:val="0063363E"/>
    <w:rsid w:val="006336DE"/>
    <w:rsid w:val="006339B6"/>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043"/>
    <w:rsid w:val="0063624D"/>
    <w:rsid w:val="00636292"/>
    <w:rsid w:val="006362CC"/>
    <w:rsid w:val="00636826"/>
    <w:rsid w:val="00636A25"/>
    <w:rsid w:val="00636D9D"/>
    <w:rsid w:val="006370B4"/>
    <w:rsid w:val="00637240"/>
    <w:rsid w:val="006375F8"/>
    <w:rsid w:val="00637727"/>
    <w:rsid w:val="00637814"/>
    <w:rsid w:val="00637942"/>
    <w:rsid w:val="00637E0F"/>
    <w:rsid w:val="00637F03"/>
    <w:rsid w:val="0064033F"/>
    <w:rsid w:val="00640528"/>
    <w:rsid w:val="00640B71"/>
    <w:rsid w:val="00640BB6"/>
    <w:rsid w:val="00640F5C"/>
    <w:rsid w:val="00640FD7"/>
    <w:rsid w:val="0064100C"/>
    <w:rsid w:val="006410ED"/>
    <w:rsid w:val="00641131"/>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947"/>
    <w:rsid w:val="00647A3F"/>
    <w:rsid w:val="00647AAC"/>
    <w:rsid w:val="00647B3C"/>
    <w:rsid w:val="00647B49"/>
    <w:rsid w:val="00647C72"/>
    <w:rsid w:val="00647D0F"/>
    <w:rsid w:val="00650061"/>
    <w:rsid w:val="00650139"/>
    <w:rsid w:val="0065013D"/>
    <w:rsid w:val="00650355"/>
    <w:rsid w:val="006506A2"/>
    <w:rsid w:val="006507BB"/>
    <w:rsid w:val="00650C13"/>
    <w:rsid w:val="00650DD0"/>
    <w:rsid w:val="00650EAD"/>
    <w:rsid w:val="00650FB1"/>
    <w:rsid w:val="00651021"/>
    <w:rsid w:val="006511A5"/>
    <w:rsid w:val="0065128E"/>
    <w:rsid w:val="00651A30"/>
    <w:rsid w:val="00651B00"/>
    <w:rsid w:val="00651D80"/>
    <w:rsid w:val="0065221D"/>
    <w:rsid w:val="0065234A"/>
    <w:rsid w:val="0065265A"/>
    <w:rsid w:val="00652756"/>
    <w:rsid w:val="00652AD8"/>
    <w:rsid w:val="00652B79"/>
    <w:rsid w:val="00652CB8"/>
    <w:rsid w:val="00652E77"/>
    <w:rsid w:val="0065316E"/>
    <w:rsid w:val="006531FA"/>
    <w:rsid w:val="006532C0"/>
    <w:rsid w:val="006533C3"/>
    <w:rsid w:val="00653667"/>
    <w:rsid w:val="00653695"/>
    <w:rsid w:val="006536DC"/>
    <w:rsid w:val="0065391C"/>
    <w:rsid w:val="00653DDF"/>
    <w:rsid w:val="00654068"/>
    <w:rsid w:val="006540A5"/>
    <w:rsid w:val="0065412A"/>
    <w:rsid w:val="00654379"/>
    <w:rsid w:val="00654429"/>
    <w:rsid w:val="00654568"/>
    <w:rsid w:val="00654760"/>
    <w:rsid w:val="00654927"/>
    <w:rsid w:val="00654B38"/>
    <w:rsid w:val="00654B83"/>
    <w:rsid w:val="00654C79"/>
    <w:rsid w:val="00654C9C"/>
    <w:rsid w:val="00655061"/>
    <w:rsid w:val="0065510C"/>
    <w:rsid w:val="006551DF"/>
    <w:rsid w:val="006554AD"/>
    <w:rsid w:val="00655506"/>
    <w:rsid w:val="0065570D"/>
    <w:rsid w:val="00655788"/>
    <w:rsid w:val="006557A9"/>
    <w:rsid w:val="00655ABF"/>
    <w:rsid w:val="00655B63"/>
    <w:rsid w:val="00655F98"/>
    <w:rsid w:val="00655FCD"/>
    <w:rsid w:val="0065601D"/>
    <w:rsid w:val="0065625E"/>
    <w:rsid w:val="00656383"/>
    <w:rsid w:val="006564ED"/>
    <w:rsid w:val="00656743"/>
    <w:rsid w:val="006568C8"/>
    <w:rsid w:val="006569C4"/>
    <w:rsid w:val="00656F45"/>
    <w:rsid w:val="00657044"/>
    <w:rsid w:val="006571CC"/>
    <w:rsid w:val="006571F6"/>
    <w:rsid w:val="006571FB"/>
    <w:rsid w:val="00657202"/>
    <w:rsid w:val="00657430"/>
    <w:rsid w:val="00657959"/>
    <w:rsid w:val="00657DF2"/>
    <w:rsid w:val="00657FBA"/>
    <w:rsid w:val="00657FDA"/>
    <w:rsid w:val="006601BD"/>
    <w:rsid w:val="00660595"/>
    <w:rsid w:val="006605DB"/>
    <w:rsid w:val="00660A1B"/>
    <w:rsid w:val="00660B3F"/>
    <w:rsid w:val="00660BF2"/>
    <w:rsid w:val="00660EC4"/>
    <w:rsid w:val="00660F7D"/>
    <w:rsid w:val="0066127C"/>
    <w:rsid w:val="006613C1"/>
    <w:rsid w:val="006618CC"/>
    <w:rsid w:val="006618D5"/>
    <w:rsid w:val="00661D2B"/>
    <w:rsid w:val="00661EBE"/>
    <w:rsid w:val="0066205C"/>
    <w:rsid w:val="00662111"/>
    <w:rsid w:val="00662118"/>
    <w:rsid w:val="00662170"/>
    <w:rsid w:val="0066223E"/>
    <w:rsid w:val="0066275B"/>
    <w:rsid w:val="00662908"/>
    <w:rsid w:val="00662A2B"/>
    <w:rsid w:val="00662ACE"/>
    <w:rsid w:val="00662BFC"/>
    <w:rsid w:val="00662F09"/>
    <w:rsid w:val="00662F34"/>
    <w:rsid w:val="006630C4"/>
    <w:rsid w:val="00663307"/>
    <w:rsid w:val="006633E5"/>
    <w:rsid w:val="006635F7"/>
    <w:rsid w:val="00663662"/>
    <w:rsid w:val="006638AD"/>
    <w:rsid w:val="00663A95"/>
    <w:rsid w:val="00663D5B"/>
    <w:rsid w:val="00663FFA"/>
    <w:rsid w:val="00664079"/>
    <w:rsid w:val="006643C2"/>
    <w:rsid w:val="00664555"/>
    <w:rsid w:val="00664691"/>
    <w:rsid w:val="0066477F"/>
    <w:rsid w:val="00664AC8"/>
    <w:rsid w:val="00664EA0"/>
    <w:rsid w:val="00664F2B"/>
    <w:rsid w:val="00664F9A"/>
    <w:rsid w:val="0066530F"/>
    <w:rsid w:val="006655E3"/>
    <w:rsid w:val="00665704"/>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7D"/>
    <w:rsid w:val="006709A7"/>
    <w:rsid w:val="00670A29"/>
    <w:rsid w:val="00670AD8"/>
    <w:rsid w:val="00670E6D"/>
    <w:rsid w:val="00671139"/>
    <w:rsid w:val="006712CB"/>
    <w:rsid w:val="0067141A"/>
    <w:rsid w:val="0067150E"/>
    <w:rsid w:val="006716DA"/>
    <w:rsid w:val="006716E6"/>
    <w:rsid w:val="00671913"/>
    <w:rsid w:val="00671957"/>
    <w:rsid w:val="00671AC8"/>
    <w:rsid w:val="00671AE3"/>
    <w:rsid w:val="00671BDD"/>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A98"/>
    <w:rsid w:val="00673BFD"/>
    <w:rsid w:val="00674174"/>
    <w:rsid w:val="00674351"/>
    <w:rsid w:val="0067446F"/>
    <w:rsid w:val="006745F0"/>
    <w:rsid w:val="006746A4"/>
    <w:rsid w:val="00674AA4"/>
    <w:rsid w:val="00674B6B"/>
    <w:rsid w:val="00674C0A"/>
    <w:rsid w:val="00674F9B"/>
    <w:rsid w:val="006750F2"/>
    <w:rsid w:val="00675191"/>
    <w:rsid w:val="006752A8"/>
    <w:rsid w:val="006752C6"/>
    <w:rsid w:val="006754A1"/>
    <w:rsid w:val="00675558"/>
    <w:rsid w:val="00675576"/>
    <w:rsid w:val="00675611"/>
    <w:rsid w:val="006756D9"/>
    <w:rsid w:val="006756F6"/>
    <w:rsid w:val="00675A60"/>
    <w:rsid w:val="00675AEF"/>
    <w:rsid w:val="00675DD6"/>
    <w:rsid w:val="00675F15"/>
    <w:rsid w:val="006765AE"/>
    <w:rsid w:val="00676897"/>
    <w:rsid w:val="0067697E"/>
    <w:rsid w:val="00676BDC"/>
    <w:rsid w:val="006771EB"/>
    <w:rsid w:val="00677443"/>
    <w:rsid w:val="0067769A"/>
    <w:rsid w:val="00677849"/>
    <w:rsid w:val="00677A33"/>
    <w:rsid w:val="00677C99"/>
    <w:rsid w:val="00677EC5"/>
    <w:rsid w:val="00677F3B"/>
    <w:rsid w:val="006805FF"/>
    <w:rsid w:val="006806A3"/>
    <w:rsid w:val="006806A6"/>
    <w:rsid w:val="006807FD"/>
    <w:rsid w:val="00680C0B"/>
    <w:rsid w:val="00680D0A"/>
    <w:rsid w:val="00680D68"/>
    <w:rsid w:val="00680EC9"/>
    <w:rsid w:val="00681039"/>
    <w:rsid w:val="00681211"/>
    <w:rsid w:val="0068151B"/>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3052"/>
    <w:rsid w:val="00683222"/>
    <w:rsid w:val="006833D7"/>
    <w:rsid w:val="00683533"/>
    <w:rsid w:val="006837DB"/>
    <w:rsid w:val="00683ADA"/>
    <w:rsid w:val="00683BAC"/>
    <w:rsid w:val="00683BAF"/>
    <w:rsid w:val="00684031"/>
    <w:rsid w:val="00684304"/>
    <w:rsid w:val="0068436C"/>
    <w:rsid w:val="006845D4"/>
    <w:rsid w:val="006846FA"/>
    <w:rsid w:val="0068474F"/>
    <w:rsid w:val="0068527A"/>
    <w:rsid w:val="006853A0"/>
    <w:rsid w:val="0068545E"/>
    <w:rsid w:val="0068585F"/>
    <w:rsid w:val="006858C1"/>
    <w:rsid w:val="00685B88"/>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780"/>
    <w:rsid w:val="00690A49"/>
    <w:rsid w:val="00690BB6"/>
    <w:rsid w:val="00691B03"/>
    <w:rsid w:val="00691B30"/>
    <w:rsid w:val="00691C07"/>
    <w:rsid w:val="00691D25"/>
    <w:rsid w:val="00691D36"/>
    <w:rsid w:val="00691D3D"/>
    <w:rsid w:val="006920FA"/>
    <w:rsid w:val="00692182"/>
    <w:rsid w:val="00692955"/>
    <w:rsid w:val="00692B09"/>
    <w:rsid w:val="00692BDA"/>
    <w:rsid w:val="00692CA5"/>
    <w:rsid w:val="00692D36"/>
    <w:rsid w:val="00693424"/>
    <w:rsid w:val="0069383E"/>
    <w:rsid w:val="00693A96"/>
    <w:rsid w:val="00693AF2"/>
    <w:rsid w:val="00693E1F"/>
    <w:rsid w:val="00693ECB"/>
    <w:rsid w:val="00693F8D"/>
    <w:rsid w:val="006940AA"/>
    <w:rsid w:val="006941D1"/>
    <w:rsid w:val="00694599"/>
    <w:rsid w:val="00694797"/>
    <w:rsid w:val="00694A73"/>
    <w:rsid w:val="00694AFE"/>
    <w:rsid w:val="00695887"/>
    <w:rsid w:val="006958C2"/>
    <w:rsid w:val="00695996"/>
    <w:rsid w:val="00695A46"/>
    <w:rsid w:val="00695F74"/>
    <w:rsid w:val="00696174"/>
    <w:rsid w:val="0069653D"/>
    <w:rsid w:val="00696692"/>
    <w:rsid w:val="006966A8"/>
    <w:rsid w:val="00696874"/>
    <w:rsid w:val="006968A3"/>
    <w:rsid w:val="00696976"/>
    <w:rsid w:val="00696BA6"/>
    <w:rsid w:val="00696C39"/>
    <w:rsid w:val="00696CBB"/>
    <w:rsid w:val="00696CE8"/>
    <w:rsid w:val="00696D1B"/>
    <w:rsid w:val="00696EA8"/>
    <w:rsid w:val="006970F6"/>
    <w:rsid w:val="00697233"/>
    <w:rsid w:val="00697500"/>
    <w:rsid w:val="00697634"/>
    <w:rsid w:val="00697714"/>
    <w:rsid w:val="00697733"/>
    <w:rsid w:val="0069776B"/>
    <w:rsid w:val="00697CA3"/>
    <w:rsid w:val="006A0154"/>
    <w:rsid w:val="006A0256"/>
    <w:rsid w:val="006A06B2"/>
    <w:rsid w:val="006A0A2D"/>
    <w:rsid w:val="006A0CBC"/>
    <w:rsid w:val="006A0E2B"/>
    <w:rsid w:val="006A0EF9"/>
    <w:rsid w:val="006A0F29"/>
    <w:rsid w:val="006A0F61"/>
    <w:rsid w:val="006A114B"/>
    <w:rsid w:val="006A11D7"/>
    <w:rsid w:val="006A142F"/>
    <w:rsid w:val="006A1B06"/>
    <w:rsid w:val="006A1BCB"/>
    <w:rsid w:val="006A1F69"/>
    <w:rsid w:val="006A1FA4"/>
    <w:rsid w:val="006A1FAE"/>
    <w:rsid w:val="006A227B"/>
    <w:rsid w:val="006A247C"/>
    <w:rsid w:val="006A254E"/>
    <w:rsid w:val="006A270D"/>
    <w:rsid w:val="006A284F"/>
    <w:rsid w:val="006A2C30"/>
    <w:rsid w:val="006A2CFB"/>
    <w:rsid w:val="006A301C"/>
    <w:rsid w:val="006A3250"/>
    <w:rsid w:val="006A3262"/>
    <w:rsid w:val="006A3385"/>
    <w:rsid w:val="006A3422"/>
    <w:rsid w:val="006A3520"/>
    <w:rsid w:val="006A3B18"/>
    <w:rsid w:val="006A3C70"/>
    <w:rsid w:val="006A3E2B"/>
    <w:rsid w:val="006A4080"/>
    <w:rsid w:val="006A40FA"/>
    <w:rsid w:val="006A4250"/>
    <w:rsid w:val="006A434C"/>
    <w:rsid w:val="006A4557"/>
    <w:rsid w:val="006A47DD"/>
    <w:rsid w:val="006A4842"/>
    <w:rsid w:val="006A4B44"/>
    <w:rsid w:val="006A4E81"/>
    <w:rsid w:val="006A5235"/>
    <w:rsid w:val="006A565B"/>
    <w:rsid w:val="006A576A"/>
    <w:rsid w:val="006A5925"/>
    <w:rsid w:val="006A5941"/>
    <w:rsid w:val="006A5A41"/>
    <w:rsid w:val="006A5B46"/>
    <w:rsid w:val="006A5C14"/>
    <w:rsid w:val="006A5CBA"/>
    <w:rsid w:val="006A5F85"/>
    <w:rsid w:val="006A6070"/>
    <w:rsid w:val="006A620D"/>
    <w:rsid w:val="006A6288"/>
    <w:rsid w:val="006A6324"/>
    <w:rsid w:val="006A6869"/>
    <w:rsid w:val="006A6886"/>
    <w:rsid w:val="006A6DF9"/>
    <w:rsid w:val="006A6E17"/>
    <w:rsid w:val="006A6E3F"/>
    <w:rsid w:val="006A72E1"/>
    <w:rsid w:val="006A7368"/>
    <w:rsid w:val="006A799E"/>
    <w:rsid w:val="006A7BB3"/>
    <w:rsid w:val="006A7DC3"/>
    <w:rsid w:val="006A7F4A"/>
    <w:rsid w:val="006B01A8"/>
    <w:rsid w:val="006B03DB"/>
    <w:rsid w:val="006B062E"/>
    <w:rsid w:val="006B0C16"/>
    <w:rsid w:val="006B0DE6"/>
    <w:rsid w:val="006B0F1B"/>
    <w:rsid w:val="006B120D"/>
    <w:rsid w:val="006B12F9"/>
    <w:rsid w:val="006B1413"/>
    <w:rsid w:val="006B17E7"/>
    <w:rsid w:val="006B18CC"/>
    <w:rsid w:val="006B19E8"/>
    <w:rsid w:val="006B1A8A"/>
    <w:rsid w:val="006B1FD5"/>
    <w:rsid w:val="006B2113"/>
    <w:rsid w:val="006B21F4"/>
    <w:rsid w:val="006B2207"/>
    <w:rsid w:val="006B232E"/>
    <w:rsid w:val="006B248F"/>
    <w:rsid w:val="006B27AC"/>
    <w:rsid w:val="006B2930"/>
    <w:rsid w:val="006B2A12"/>
    <w:rsid w:val="006B31B3"/>
    <w:rsid w:val="006B36F3"/>
    <w:rsid w:val="006B3770"/>
    <w:rsid w:val="006B3886"/>
    <w:rsid w:val="006B3B27"/>
    <w:rsid w:val="006B3BDB"/>
    <w:rsid w:val="006B4662"/>
    <w:rsid w:val="006B4A4A"/>
    <w:rsid w:val="006B4D4A"/>
    <w:rsid w:val="006B4FD7"/>
    <w:rsid w:val="006B53C2"/>
    <w:rsid w:val="006B555A"/>
    <w:rsid w:val="006B5745"/>
    <w:rsid w:val="006B5971"/>
    <w:rsid w:val="006B5D8D"/>
    <w:rsid w:val="006B5FDE"/>
    <w:rsid w:val="006B600A"/>
    <w:rsid w:val="006B60F7"/>
    <w:rsid w:val="006B61CA"/>
    <w:rsid w:val="006B62CC"/>
    <w:rsid w:val="006B62FE"/>
    <w:rsid w:val="006B638B"/>
    <w:rsid w:val="006B64FE"/>
    <w:rsid w:val="006B6635"/>
    <w:rsid w:val="006B68B1"/>
    <w:rsid w:val="006B6AD7"/>
    <w:rsid w:val="006B6B4B"/>
    <w:rsid w:val="006B6CEB"/>
    <w:rsid w:val="006B73AA"/>
    <w:rsid w:val="006B758A"/>
    <w:rsid w:val="006B75DA"/>
    <w:rsid w:val="006B75E0"/>
    <w:rsid w:val="006B77DD"/>
    <w:rsid w:val="006B794E"/>
    <w:rsid w:val="006B7AA9"/>
    <w:rsid w:val="006B7C70"/>
    <w:rsid w:val="006B7D22"/>
    <w:rsid w:val="006B7D2C"/>
    <w:rsid w:val="006B7D59"/>
    <w:rsid w:val="006B7E96"/>
    <w:rsid w:val="006C006E"/>
    <w:rsid w:val="006C0279"/>
    <w:rsid w:val="006C04D3"/>
    <w:rsid w:val="006C064D"/>
    <w:rsid w:val="006C06F2"/>
    <w:rsid w:val="006C0E88"/>
    <w:rsid w:val="006C1019"/>
    <w:rsid w:val="006C12BA"/>
    <w:rsid w:val="006C1371"/>
    <w:rsid w:val="006C1AE0"/>
    <w:rsid w:val="006C1BBE"/>
    <w:rsid w:val="006C1D02"/>
    <w:rsid w:val="006C1E68"/>
    <w:rsid w:val="006C2057"/>
    <w:rsid w:val="006C20EF"/>
    <w:rsid w:val="006C2157"/>
    <w:rsid w:val="006C21A3"/>
    <w:rsid w:val="006C24B0"/>
    <w:rsid w:val="006C2508"/>
    <w:rsid w:val="006C2689"/>
    <w:rsid w:val="006C2785"/>
    <w:rsid w:val="006C2AE0"/>
    <w:rsid w:val="006C2BB5"/>
    <w:rsid w:val="006C2BEE"/>
    <w:rsid w:val="006C2C80"/>
    <w:rsid w:val="006C2EA8"/>
    <w:rsid w:val="006C3080"/>
    <w:rsid w:val="006C30C0"/>
    <w:rsid w:val="006C31FB"/>
    <w:rsid w:val="006C3387"/>
    <w:rsid w:val="006C3714"/>
    <w:rsid w:val="006C374B"/>
    <w:rsid w:val="006C37D4"/>
    <w:rsid w:val="006C39FF"/>
    <w:rsid w:val="006C3AD8"/>
    <w:rsid w:val="006C3D80"/>
    <w:rsid w:val="006C4203"/>
    <w:rsid w:val="006C4330"/>
    <w:rsid w:val="006C44BE"/>
    <w:rsid w:val="006C4516"/>
    <w:rsid w:val="006C455A"/>
    <w:rsid w:val="006C455E"/>
    <w:rsid w:val="006C46DE"/>
    <w:rsid w:val="006C487D"/>
    <w:rsid w:val="006C4CFE"/>
    <w:rsid w:val="006C50C5"/>
    <w:rsid w:val="006C55C5"/>
    <w:rsid w:val="006C5683"/>
    <w:rsid w:val="006C56C8"/>
    <w:rsid w:val="006C573D"/>
    <w:rsid w:val="006C5761"/>
    <w:rsid w:val="006C5958"/>
    <w:rsid w:val="006C5A10"/>
    <w:rsid w:val="006C5B4F"/>
    <w:rsid w:val="006C5E49"/>
    <w:rsid w:val="006C5EBA"/>
    <w:rsid w:val="006C63B2"/>
    <w:rsid w:val="006C63BC"/>
    <w:rsid w:val="006C643C"/>
    <w:rsid w:val="006C6548"/>
    <w:rsid w:val="006C6630"/>
    <w:rsid w:val="006C674C"/>
    <w:rsid w:val="006C6E3A"/>
    <w:rsid w:val="006C6FD7"/>
    <w:rsid w:val="006C72C4"/>
    <w:rsid w:val="006C74A9"/>
    <w:rsid w:val="006C75FA"/>
    <w:rsid w:val="006C7692"/>
    <w:rsid w:val="006C76DC"/>
    <w:rsid w:val="006C7735"/>
    <w:rsid w:val="006C78E2"/>
    <w:rsid w:val="006C79AB"/>
    <w:rsid w:val="006C7EB5"/>
    <w:rsid w:val="006C7F70"/>
    <w:rsid w:val="006D00DB"/>
    <w:rsid w:val="006D0361"/>
    <w:rsid w:val="006D057F"/>
    <w:rsid w:val="006D0666"/>
    <w:rsid w:val="006D0A9A"/>
    <w:rsid w:val="006D0B13"/>
    <w:rsid w:val="006D0C44"/>
    <w:rsid w:val="006D0FC0"/>
    <w:rsid w:val="006D10A7"/>
    <w:rsid w:val="006D130F"/>
    <w:rsid w:val="006D1498"/>
    <w:rsid w:val="006D15CF"/>
    <w:rsid w:val="006D16B0"/>
    <w:rsid w:val="006D1766"/>
    <w:rsid w:val="006D2182"/>
    <w:rsid w:val="006D2370"/>
    <w:rsid w:val="006D2444"/>
    <w:rsid w:val="006D254B"/>
    <w:rsid w:val="006D289B"/>
    <w:rsid w:val="006D28B8"/>
    <w:rsid w:val="006D28FF"/>
    <w:rsid w:val="006D2C37"/>
    <w:rsid w:val="006D2C91"/>
    <w:rsid w:val="006D2CFD"/>
    <w:rsid w:val="006D2DF5"/>
    <w:rsid w:val="006D3006"/>
    <w:rsid w:val="006D32A3"/>
    <w:rsid w:val="006D3439"/>
    <w:rsid w:val="006D365D"/>
    <w:rsid w:val="006D377D"/>
    <w:rsid w:val="006D37C9"/>
    <w:rsid w:val="006D3BE1"/>
    <w:rsid w:val="006D3D89"/>
    <w:rsid w:val="006D3E76"/>
    <w:rsid w:val="006D3F16"/>
    <w:rsid w:val="006D4280"/>
    <w:rsid w:val="006D434C"/>
    <w:rsid w:val="006D454C"/>
    <w:rsid w:val="006D4763"/>
    <w:rsid w:val="006D48FC"/>
    <w:rsid w:val="006D4B79"/>
    <w:rsid w:val="006D4B97"/>
    <w:rsid w:val="006D4EA8"/>
    <w:rsid w:val="006D4F35"/>
    <w:rsid w:val="006D5370"/>
    <w:rsid w:val="006D54BB"/>
    <w:rsid w:val="006D55C2"/>
    <w:rsid w:val="006D5855"/>
    <w:rsid w:val="006D5922"/>
    <w:rsid w:val="006D5A56"/>
    <w:rsid w:val="006D5AA6"/>
    <w:rsid w:val="006D5CA8"/>
    <w:rsid w:val="006D5DEC"/>
    <w:rsid w:val="006D62BC"/>
    <w:rsid w:val="006D6450"/>
    <w:rsid w:val="006D6621"/>
    <w:rsid w:val="006D6939"/>
    <w:rsid w:val="006D6C8D"/>
    <w:rsid w:val="006D6E65"/>
    <w:rsid w:val="006D75DE"/>
    <w:rsid w:val="006D772D"/>
    <w:rsid w:val="006D7C68"/>
    <w:rsid w:val="006D7E7F"/>
    <w:rsid w:val="006D7EB0"/>
    <w:rsid w:val="006E001D"/>
    <w:rsid w:val="006E0138"/>
    <w:rsid w:val="006E037F"/>
    <w:rsid w:val="006E0AB2"/>
    <w:rsid w:val="006E0B6D"/>
    <w:rsid w:val="006E0BB0"/>
    <w:rsid w:val="006E0CA7"/>
    <w:rsid w:val="006E0E0A"/>
    <w:rsid w:val="006E0EE6"/>
    <w:rsid w:val="006E0FB0"/>
    <w:rsid w:val="006E113E"/>
    <w:rsid w:val="006E1209"/>
    <w:rsid w:val="006E1263"/>
    <w:rsid w:val="006E12C3"/>
    <w:rsid w:val="006E13DF"/>
    <w:rsid w:val="006E1449"/>
    <w:rsid w:val="006E147A"/>
    <w:rsid w:val="006E1798"/>
    <w:rsid w:val="006E189B"/>
    <w:rsid w:val="006E18BB"/>
    <w:rsid w:val="006E1F97"/>
    <w:rsid w:val="006E231A"/>
    <w:rsid w:val="006E2331"/>
    <w:rsid w:val="006E23E4"/>
    <w:rsid w:val="006E2529"/>
    <w:rsid w:val="006E26F6"/>
    <w:rsid w:val="006E27FC"/>
    <w:rsid w:val="006E29D0"/>
    <w:rsid w:val="006E2BF1"/>
    <w:rsid w:val="006E2C5A"/>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95"/>
    <w:rsid w:val="006E61C3"/>
    <w:rsid w:val="006E657E"/>
    <w:rsid w:val="006E6683"/>
    <w:rsid w:val="006E69A7"/>
    <w:rsid w:val="006E6BE6"/>
    <w:rsid w:val="006E6D68"/>
    <w:rsid w:val="006E6DCE"/>
    <w:rsid w:val="006E71D0"/>
    <w:rsid w:val="006E77EC"/>
    <w:rsid w:val="006E7843"/>
    <w:rsid w:val="006E799D"/>
    <w:rsid w:val="006E7B84"/>
    <w:rsid w:val="006E7E68"/>
    <w:rsid w:val="006F0016"/>
    <w:rsid w:val="006F0166"/>
    <w:rsid w:val="006F04AC"/>
    <w:rsid w:val="006F0520"/>
    <w:rsid w:val="006F0581"/>
    <w:rsid w:val="006F0593"/>
    <w:rsid w:val="006F0BD2"/>
    <w:rsid w:val="006F1064"/>
    <w:rsid w:val="006F12EB"/>
    <w:rsid w:val="006F161B"/>
    <w:rsid w:val="006F1E62"/>
    <w:rsid w:val="006F1EB7"/>
    <w:rsid w:val="006F1F45"/>
    <w:rsid w:val="006F2077"/>
    <w:rsid w:val="006F2223"/>
    <w:rsid w:val="006F22A0"/>
    <w:rsid w:val="006F2676"/>
    <w:rsid w:val="006F27CD"/>
    <w:rsid w:val="006F2882"/>
    <w:rsid w:val="006F2995"/>
    <w:rsid w:val="006F2E64"/>
    <w:rsid w:val="006F2FE8"/>
    <w:rsid w:val="006F3250"/>
    <w:rsid w:val="006F39A5"/>
    <w:rsid w:val="006F3BCB"/>
    <w:rsid w:val="006F40E7"/>
    <w:rsid w:val="006F43D6"/>
    <w:rsid w:val="006F44E1"/>
    <w:rsid w:val="006F469A"/>
    <w:rsid w:val="006F47BD"/>
    <w:rsid w:val="006F4C44"/>
    <w:rsid w:val="006F4F67"/>
    <w:rsid w:val="006F50B8"/>
    <w:rsid w:val="006F521B"/>
    <w:rsid w:val="006F52E5"/>
    <w:rsid w:val="006F53FA"/>
    <w:rsid w:val="006F5E44"/>
    <w:rsid w:val="006F6066"/>
    <w:rsid w:val="006F608F"/>
    <w:rsid w:val="006F63E5"/>
    <w:rsid w:val="006F6616"/>
    <w:rsid w:val="006F6695"/>
    <w:rsid w:val="006F6850"/>
    <w:rsid w:val="006F6C5B"/>
    <w:rsid w:val="006F6D00"/>
    <w:rsid w:val="006F6D20"/>
    <w:rsid w:val="006F6EA4"/>
    <w:rsid w:val="006F707E"/>
    <w:rsid w:val="006F78C6"/>
    <w:rsid w:val="006F79FB"/>
    <w:rsid w:val="006F7A89"/>
    <w:rsid w:val="006F7BCB"/>
    <w:rsid w:val="006F7C97"/>
    <w:rsid w:val="006F7CE7"/>
    <w:rsid w:val="007001DC"/>
    <w:rsid w:val="00700542"/>
    <w:rsid w:val="00700CB9"/>
    <w:rsid w:val="007011D4"/>
    <w:rsid w:val="0070155B"/>
    <w:rsid w:val="00701638"/>
    <w:rsid w:val="007016A7"/>
    <w:rsid w:val="007017E0"/>
    <w:rsid w:val="00701BBB"/>
    <w:rsid w:val="00701C05"/>
    <w:rsid w:val="00701EAF"/>
    <w:rsid w:val="007020EF"/>
    <w:rsid w:val="00702213"/>
    <w:rsid w:val="00702315"/>
    <w:rsid w:val="00702574"/>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1E7"/>
    <w:rsid w:val="007046FC"/>
    <w:rsid w:val="00704752"/>
    <w:rsid w:val="007048BC"/>
    <w:rsid w:val="0070490C"/>
    <w:rsid w:val="007049D4"/>
    <w:rsid w:val="00704C3D"/>
    <w:rsid w:val="00705372"/>
    <w:rsid w:val="00705C38"/>
    <w:rsid w:val="00705F59"/>
    <w:rsid w:val="00706042"/>
    <w:rsid w:val="007060C6"/>
    <w:rsid w:val="00706247"/>
    <w:rsid w:val="0070630A"/>
    <w:rsid w:val="007063D1"/>
    <w:rsid w:val="00706465"/>
    <w:rsid w:val="007064C6"/>
    <w:rsid w:val="00706740"/>
    <w:rsid w:val="00706868"/>
    <w:rsid w:val="0070695A"/>
    <w:rsid w:val="00706DB2"/>
    <w:rsid w:val="007073FB"/>
    <w:rsid w:val="00707664"/>
    <w:rsid w:val="007076E8"/>
    <w:rsid w:val="00707736"/>
    <w:rsid w:val="0070782D"/>
    <w:rsid w:val="00707909"/>
    <w:rsid w:val="00707EE1"/>
    <w:rsid w:val="00707F2A"/>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21B7"/>
    <w:rsid w:val="007123C7"/>
    <w:rsid w:val="00712A8B"/>
    <w:rsid w:val="00712C42"/>
    <w:rsid w:val="00712DE4"/>
    <w:rsid w:val="00712FC0"/>
    <w:rsid w:val="00713360"/>
    <w:rsid w:val="007139CA"/>
    <w:rsid w:val="007139E5"/>
    <w:rsid w:val="00713DE4"/>
    <w:rsid w:val="00713EA8"/>
    <w:rsid w:val="00714319"/>
    <w:rsid w:val="0071455D"/>
    <w:rsid w:val="0071461B"/>
    <w:rsid w:val="00714745"/>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803"/>
    <w:rsid w:val="00716890"/>
    <w:rsid w:val="00716C7F"/>
    <w:rsid w:val="00716D29"/>
    <w:rsid w:val="00716D51"/>
    <w:rsid w:val="00716E77"/>
    <w:rsid w:val="00717132"/>
    <w:rsid w:val="00717470"/>
    <w:rsid w:val="007174F0"/>
    <w:rsid w:val="00717549"/>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E60"/>
    <w:rsid w:val="00722EC9"/>
    <w:rsid w:val="00722F94"/>
    <w:rsid w:val="007231B0"/>
    <w:rsid w:val="0072337C"/>
    <w:rsid w:val="007233B0"/>
    <w:rsid w:val="0072342F"/>
    <w:rsid w:val="007234AA"/>
    <w:rsid w:val="007237C5"/>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F69"/>
    <w:rsid w:val="0072506E"/>
    <w:rsid w:val="00725081"/>
    <w:rsid w:val="007253F0"/>
    <w:rsid w:val="00725721"/>
    <w:rsid w:val="00725AA1"/>
    <w:rsid w:val="00726036"/>
    <w:rsid w:val="007260F9"/>
    <w:rsid w:val="00726243"/>
    <w:rsid w:val="00726279"/>
    <w:rsid w:val="0072645C"/>
    <w:rsid w:val="0072683C"/>
    <w:rsid w:val="007269A6"/>
    <w:rsid w:val="00726A9B"/>
    <w:rsid w:val="00726E03"/>
    <w:rsid w:val="0072710C"/>
    <w:rsid w:val="007273D5"/>
    <w:rsid w:val="00727530"/>
    <w:rsid w:val="0072757B"/>
    <w:rsid w:val="007276C8"/>
    <w:rsid w:val="00727736"/>
    <w:rsid w:val="00727828"/>
    <w:rsid w:val="00727851"/>
    <w:rsid w:val="00727E2E"/>
    <w:rsid w:val="00727E8B"/>
    <w:rsid w:val="007301A6"/>
    <w:rsid w:val="00730940"/>
    <w:rsid w:val="00730C1F"/>
    <w:rsid w:val="00730ECF"/>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AFC"/>
    <w:rsid w:val="00732B21"/>
    <w:rsid w:val="00732CB3"/>
    <w:rsid w:val="0073327A"/>
    <w:rsid w:val="00733516"/>
    <w:rsid w:val="00733A0F"/>
    <w:rsid w:val="00733D01"/>
    <w:rsid w:val="00734067"/>
    <w:rsid w:val="007340BD"/>
    <w:rsid w:val="007340CF"/>
    <w:rsid w:val="007341B8"/>
    <w:rsid w:val="00734247"/>
    <w:rsid w:val="0073442B"/>
    <w:rsid w:val="00734B25"/>
    <w:rsid w:val="00734BD0"/>
    <w:rsid w:val="00734BE0"/>
    <w:rsid w:val="00734E87"/>
    <w:rsid w:val="00734EBE"/>
    <w:rsid w:val="007351E5"/>
    <w:rsid w:val="00735643"/>
    <w:rsid w:val="00735722"/>
    <w:rsid w:val="0073585E"/>
    <w:rsid w:val="00735A2F"/>
    <w:rsid w:val="00735C0D"/>
    <w:rsid w:val="00735C7B"/>
    <w:rsid w:val="00735CB9"/>
    <w:rsid w:val="00735D83"/>
    <w:rsid w:val="00735FE4"/>
    <w:rsid w:val="00736032"/>
    <w:rsid w:val="007360EA"/>
    <w:rsid w:val="00736142"/>
    <w:rsid w:val="0073628D"/>
    <w:rsid w:val="007369FF"/>
    <w:rsid w:val="00736D3D"/>
    <w:rsid w:val="00736DD8"/>
    <w:rsid w:val="00737165"/>
    <w:rsid w:val="00737185"/>
    <w:rsid w:val="00737398"/>
    <w:rsid w:val="00737635"/>
    <w:rsid w:val="00737740"/>
    <w:rsid w:val="0073775F"/>
    <w:rsid w:val="00737813"/>
    <w:rsid w:val="00737C14"/>
    <w:rsid w:val="00737C33"/>
    <w:rsid w:val="00737D42"/>
    <w:rsid w:val="00737E86"/>
    <w:rsid w:val="00740460"/>
    <w:rsid w:val="0074076A"/>
    <w:rsid w:val="00740B2E"/>
    <w:rsid w:val="00740DE9"/>
    <w:rsid w:val="00740F95"/>
    <w:rsid w:val="007411B0"/>
    <w:rsid w:val="00741587"/>
    <w:rsid w:val="007415FA"/>
    <w:rsid w:val="00741897"/>
    <w:rsid w:val="007419A0"/>
    <w:rsid w:val="00741AF4"/>
    <w:rsid w:val="00741CF5"/>
    <w:rsid w:val="00741DCC"/>
    <w:rsid w:val="00741DF1"/>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5F8"/>
    <w:rsid w:val="00744A64"/>
    <w:rsid w:val="00744B41"/>
    <w:rsid w:val="00744D47"/>
    <w:rsid w:val="00744D8B"/>
    <w:rsid w:val="00744E15"/>
    <w:rsid w:val="00744EA0"/>
    <w:rsid w:val="00744EE7"/>
    <w:rsid w:val="00745067"/>
    <w:rsid w:val="0074508B"/>
    <w:rsid w:val="007450A4"/>
    <w:rsid w:val="00745200"/>
    <w:rsid w:val="00745201"/>
    <w:rsid w:val="007453BD"/>
    <w:rsid w:val="007453DA"/>
    <w:rsid w:val="00745448"/>
    <w:rsid w:val="00745471"/>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3B"/>
    <w:rsid w:val="007476DA"/>
    <w:rsid w:val="00747729"/>
    <w:rsid w:val="00747DB9"/>
    <w:rsid w:val="00747F48"/>
    <w:rsid w:val="00747F4C"/>
    <w:rsid w:val="007500B2"/>
    <w:rsid w:val="0075013D"/>
    <w:rsid w:val="007501D5"/>
    <w:rsid w:val="0075020B"/>
    <w:rsid w:val="0075050E"/>
    <w:rsid w:val="00750659"/>
    <w:rsid w:val="007507EA"/>
    <w:rsid w:val="00750B04"/>
    <w:rsid w:val="00750B34"/>
    <w:rsid w:val="00750B54"/>
    <w:rsid w:val="00750FB4"/>
    <w:rsid w:val="00751091"/>
    <w:rsid w:val="007510EA"/>
    <w:rsid w:val="0075125C"/>
    <w:rsid w:val="007513BE"/>
    <w:rsid w:val="007514C2"/>
    <w:rsid w:val="00751561"/>
    <w:rsid w:val="00751741"/>
    <w:rsid w:val="00751A64"/>
    <w:rsid w:val="00751ABB"/>
    <w:rsid w:val="00751B83"/>
    <w:rsid w:val="00751CC9"/>
    <w:rsid w:val="00751FF1"/>
    <w:rsid w:val="00752055"/>
    <w:rsid w:val="007525F1"/>
    <w:rsid w:val="007526E2"/>
    <w:rsid w:val="00752849"/>
    <w:rsid w:val="00752882"/>
    <w:rsid w:val="00752894"/>
    <w:rsid w:val="00752C24"/>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2"/>
    <w:rsid w:val="00754E7A"/>
    <w:rsid w:val="007551D1"/>
    <w:rsid w:val="0075538A"/>
    <w:rsid w:val="0075540C"/>
    <w:rsid w:val="0075550D"/>
    <w:rsid w:val="00755554"/>
    <w:rsid w:val="007555A3"/>
    <w:rsid w:val="0075590E"/>
    <w:rsid w:val="0075597F"/>
    <w:rsid w:val="00755BE7"/>
    <w:rsid w:val="00755DB1"/>
    <w:rsid w:val="00756531"/>
    <w:rsid w:val="00756681"/>
    <w:rsid w:val="0075699E"/>
    <w:rsid w:val="00756B63"/>
    <w:rsid w:val="00756BA4"/>
    <w:rsid w:val="0075701A"/>
    <w:rsid w:val="007570B3"/>
    <w:rsid w:val="0075747E"/>
    <w:rsid w:val="007574FC"/>
    <w:rsid w:val="007577CA"/>
    <w:rsid w:val="007579F4"/>
    <w:rsid w:val="00757AC4"/>
    <w:rsid w:val="00757D43"/>
    <w:rsid w:val="00757DC2"/>
    <w:rsid w:val="007608C1"/>
    <w:rsid w:val="0076093C"/>
    <w:rsid w:val="00760975"/>
    <w:rsid w:val="00760FEE"/>
    <w:rsid w:val="007611EE"/>
    <w:rsid w:val="00761222"/>
    <w:rsid w:val="00761303"/>
    <w:rsid w:val="007619D4"/>
    <w:rsid w:val="007619E7"/>
    <w:rsid w:val="00761FDA"/>
    <w:rsid w:val="0076202A"/>
    <w:rsid w:val="007621FF"/>
    <w:rsid w:val="007623EB"/>
    <w:rsid w:val="00762A96"/>
    <w:rsid w:val="00762C2A"/>
    <w:rsid w:val="00762DFF"/>
    <w:rsid w:val="00762F18"/>
    <w:rsid w:val="007632AF"/>
    <w:rsid w:val="00763378"/>
    <w:rsid w:val="007634E3"/>
    <w:rsid w:val="0076396B"/>
    <w:rsid w:val="00763AA2"/>
    <w:rsid w:val="00763B0E"/>
    <w:rsid w:val="00763F51"/>
    <w:rsid w:val="00764172"/>
    <w:rsid w:val="00764194"/>
    <w:rsid w:val="00764750"/>
    <w:rsid w:val="00764838"/>
    <w:rsid w:val="00764989"/>
    <w:rsid w:val="00764A4F"/>
    <w:rsid w:val="00764BB0"/>
    <w:rsid w:val="00765129"/>
    <w:rsid w:val="00765884"/>
    <w:rsid w:val="00765A5B"/>
    <w:rsid w:val="00765AB7"/>
    <w:rsid w:val="00765AFF"/>
    <w:rsid w:val="00765CAA"/>
    <w:rsid w:val="00765EC6"/>
    <w:rsid w:val="00765ED3"/>
    <w:rsid w:val="00765FE0"/>
    <w:rsid w:val="0076603A"/>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D5A"/>
    <w:rsid w:val="00767E4D"/>
    <w:rsid w:val="007700B8"/>
    <w:rsid w:val="00770308"/>
    <w:rsid w:val="00770525"/>
    <w:rsid w:val="0077083A"/>
    <w:rsid w:val="00770895"/>
    <w:rsid w:val="0077094C"/>
    <w:rsid w:val="00770B05"/>
    <w:rsid w:val="00770E2E"/>
    <w:rsid w:val="00771067"/>
    <w:rsid w:val="007716BE"/>
    <w:rsid w:val="0077175C"/>
    <w:rsid w:val="007717E7"/>
    <w:rsid w:val="00771870"/>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F8A"/>
    <w:rsid w:val="00773021"/>
    <w:rsid w:val="00773186"/>
    <w:rsid w:val="00773324"/>
    <w:rsid w:val="00773616"/>
    <w:rsid w:val="0077362D"/>
    <w:rsid w:val="00773778"/>
    <w:rsid w:val="007739C6"/>
    <w:rsid w:val="00773DBB"/>
    <w:rsid w:val="00774443"/>
    <w:rsid w:val="0077470C"/>
    <w:rsid w:val="007747DE"/>
    <w:rsid w:val="00774889"/>
    <w:rsid w:val="00774AD9"/>
    <w:rsid w:val="00774AE8"/>
    <w:rsid w:val="00774B58"/>
    <w:rsid w:val="00774F69"/>
    <w:rsid w:val="00774FF5"/>
    <w:rsid w:val="007750B3"/>
    <w:rsid w:val="0077532A"/>
    <w:rsid w:val="00775397"/>
    <w:rsid w:val="007754AD"/>
    <w:rsid w:val="0077560E"/>
    <w:rsid w:val="00775663"/>
    <w:rsid w:val="007756CE"/>
    <w:rsid w:val="0077591B"/>
    <w:rsid w:val="00775966"/>
    <w:rsid w:val="00775F76"/>
    <w:rsid w:val="00775FC4"/>
    <w:rsid w:val="00776373"/>
    <w:rsid w:val="00776536"/>
    <w:rsid w:val="0077653A"/>
    <w:rsid w:val="00776762"/>
    <w:rsid w:val="00776AEA"/>
    <w:rsid w:val="00776B82"/>
    <w:rsid w:val="00776BE8"/>
    <w:rsid w:val="00776F24"/>
    <w:rsid w:val="00777606"/>
    <w:rsid w:val="00777757"/>
    <w:rsid w:val="007777E6"/>
    <w:rsid w:val="0077798D"/>
    <w:rsid w:val="00777BA0"/>
    <w:rsid w:val="00777CC6"/>
    <w:rsid w:val="00777D59"/>
    <w:rsid w:val="00777EE5"/>
    <w:rsid w:val="00777F74"/>
    <w:rsid w:val="0078000F"/>
    <w:rsid w:val="00780171"/>
    <w:rsid w:val="007803BD"/>
    <w:rsid w:val="0078044D"/>
    <w:rsid w:val="00780502"/>
    <w:rsid w:val="0078056B"/>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749"/>
    <w:rsid w:val="007817AA"/>
    <w:rsid w:val="00781A91"/>
    <w:rsid w:val="00781C2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C3"/>
    <w:rsid w:val="00784EED"/>
    <w:rsid w:val="00785406"/>
    <w:rsid w:val="00785900"/>
    <w:rsid w:val="00785988"/>
    <w:rsid w:val="00785A51"/>
    <w:rsid w:val="00785A98"/>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5C3"/>
    <w:rsid w:val="007877D1"/>
    <w:rsid w:val="0078795A"/>
    <w:rsid w:val="00787A97"/>
    <w:rsid w:val="00787C67"/>
    <w:rsid w:val="00787CA1"/>
    <w:rsid w:val="00787D78"/>
    <w:rsid w:val="00787E70"/>
    <w:rsid w:val="00787E7B"/>
    <w:rsid w:val="00787EDF"/>
    <w:rsid w:val="007900BF"/>
    <w:rsid w:val="0079037D"/>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668"/>
    <w:rsid w:val="00792958"/>
    <w:rsid w:val="00792EBB"/>
    <w:rsid w:val="007930B2"/>
    <w:rsid w:val="00793180"/>
    <w:rsid w:val="00793894"/>
    <w:rsid w:val="00793A63"/>
    <w:rsid w:val="00793F5F"/>
    <w:rsid w:val="00794083"/>
    <w:rsid w:val="00794387"/>
    <w:rsid w:val="00794505"/>
    <w:rsid w:val="0079482E"/>
    <w:rsid w:val="00794924"/>
    <w:rsid w:val="0079497A"/>
    <w:rsid w:val="00794BB3"/>
    <w:rsid w:val="00795517"/>
    <w:rsid w:val="00795603"/>
    <w:rsid w:val="00795625"/>
    <w:rsid w:val="00795762"/>
    <w:rsid w:val="00795A5D"/>
    <w:rsid w:val="00795A81"/>
    <w:rsid w:val="00795BF0"/>
    <w:rsid w:val="00795CAE"/>
    <w:rsid w:val="0079635B"/>
    <w:rsid w:val="00796485"/>
    <w:rsid w:val="0079649A"/>
    <w:rsid w:val="007965EA"/>
    <w:rsid w:val="0079688C"/>
    <w:rsid w:val="0079688F"/>
    <w:rsid w:val="00796B96"/>
    <w:rsid w:val="00796C8E"/>
    <w:rsid w:val="0079734A"/>
    <w:rsid w:val="00797405"/>
    <w:rsid w:val="007978C5"/>
    <w:rsid w:val="00797A3E"/>
    <w:rsid w:val="00797ACF"/>
    <w:rsid w:val="00797E26"/>
    <w:rsid w:val="00797EA2"/>
    <w:rsid w:val="00797F9A"/>
    <w:rsid w:val="007A0469"/>
    <w:rsid w:val="007A074B"/>
    <w:rsid w:val="007A0762"/>
    <w:rsid w:val="007A08AC"/>
    <w:rsid w:val="007A09FB"/>
    <w:rsid w:val="007A0BC2"/>
    <w:rsid w:val="007A0D31"/>
    <w:rsid w:val="007A106F"/>
    <w:rsid w:val="007A1251"/>
    <w:rsid w:val="007A138F"/>
    <w:rsid w:val="007A19DB"/>
    <w:rsid w:val="007A1D8B"/>
    <w:rsid w:val="007A1F44"/>
    <w:rsid w:val="007A1F63"/>
    <w:rsid w:val="007A20DC"/>
    <w:rsid w:val="007A2219"/>
    <w:rsid w:val="007A23FF"/>
    <w:rsid w:val="007A25F2"/>
    <w:rsid w:val="007A27C8"/>
    <w:rsid w:val="007A295B"/>
    <w:rsid w:val="007A2F0A"/>
    <w:rsid w:val="007A2F15"/>
    <w:rsid w:val="007A2F52"/>
    <w:rsid w:val="007A325F"/>
    <w:rsid w:val="007A33F0"/>
    <w:rsid w:val="007A3424"/>
    <w:rsid w:val="007A35EF"/>
    <w:rsid w:val="007A3611"/>
    <w:rsid w:val="007A3773"/>
    <w:rsid w:val="007A3CAC"/>
    <w:rsid w:val="007A4039"/>
    <w:rsid w:val="007A411D"/>
    <w:rsid w:val="007A43A2"/>
    <w:rsid w:val="007A4865"/>
    <w:rsid w:val="007A4B84"/>
    <w:rsid w:val="007A4CD8"/>
    <w:rsid w:val="007A4D04"/>
    <w:rsid w:val="007A534A"/>
    <w:rsid w:val="007A53F9"/>
    <w:rsid w:val="007A5BE0"/>
    <w:rsid w:val="007A6596"/>
    <w:rsid w:val="007A67A9"/>
    <w:rsid w:val="007A6EC8"/>
    <w:rsid w:val="007A6F14"/>
    <w:rsid w:val="007A7261"/>
    <w:rsid w:val="007A72CA"/>
    <w:rsid w:val="007A7543"/>
    <w:rsid w:val="007A7636"/>
    <w:rsid w:val="007A781C"/>
    <w:rsid w:val="007A78CE"/>
    <w:rsid w:val="007A7A96"/>
    <w:rsid w:val="007A7C63"/>
    <w:rsid w:val="007A7E13"/>
    <w:rsid w:val="007B0372"/>
    <w:rsid w:val="007B03AF"/>
    <w:rsid w:val="007B03B7"/>
    <w:rsid w:val="007B086E"/>
    <w:rsid w:val="007B08E0"/>
    <w:rsid w:val="007B0926"/>
    <w:rsid w:val="007B0A8F"/>
    <w:rsid w:val="007B0AC0"/>
    <w:rsid w:val="007B0B61"/>
    <w:rsid w:val="007B0D68"/>
    <w:rsid w:val="007B0E6B"/>
    <w:rsid w:val="007B12F0"/>
    <w:rsid w:val="007B1543"/>
    <w:rsid w:val="007B1610"/>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8F1"/>
    <w:rsid w:val="007B3938"/>
    <w:rsid w:val="007B3A2E"/>
    <w:rsid w:val="007B3BF8"/>
    <w:rsid w:val="007B403F"/>
    <w:rsid w:val="007B42FC"/>
    <w:rsid w:val="007B4463"/>
    <w:rsid w:val="007B46CF"/>
    <w:rsid w:val="007B48C4"/>
    <w:rsid w:val="007B4A92"/>
    <w:rsid w:val="007B4B7D"/>
    <w:rsid w:val="007B4D73"/>
    <w:rsid w:val="007B4E14"/>
    <w:rsid w:val="007B5044"/>
    <w:rsid w:val="007B52CD"/>
    <w:rsid w:val="007B56DA"/>
    <w:rsid w:val="007B57B7"/>
    <w:rsid w:val="007B5C27"/>
    <w:rsid w:val="007B5EC5"/>
    <w:rsid w:val="007B5F81"/>
    <w:rsid w:val="007B629D"/>
    <w:rsid w:val="007B6417"/>
    <w:rsid w:val="007B6581"/>
    <w:rsid w:val="007B6813"/>
    <w:rsid w:val="007B7188"/>
    <w:rsid w:val="007B7529"/>
    <w:rsid w:val="007B7605"/>
    <w:rsid w:val="007B7671"/>
    <w:rsid w:val="007B76BF"/>
    <w:rsid w:val="007B7A7A"/>
    <w:rsid w:val="007B7B55"/>
    <w:rsid w:val="007B7BA8"/>
    <w:rsid w:val="007B7C3B"/>
    <w:rsid w:val="007B7CCD"/>
    <w:rsid w:val="007B7DC1"/>
    <w:rsid w:val="007B7EDB"/>
    <w:rsid w:val="007C0102"/>
    <w:rsid w:val="007C054E"/>
    <w:rsid w:val="007C0590"/>
    <w:rsid w:val="007C085D"/>
    <w:rsid w:val="007C0AB2"/>
    <w:rsid w:val="007C0C3A"/>
    <w:rsid w:val="007C0F16"/>
    <w:rsid w:val="007C1052"/>
    <w:rsid w:val="007C114F"/>
    <w:rsid w:val="007C11A9"/>
    <w:rsid w:val="007C12EC"/>
    <w:rsid w:val="007C177B"/>
    <w:rsid w:val="007C19AD"/>
    <w:rsid w:val="007C1C20"/>
    <w:rsid w:val="007C23CE"/>
    <w:rsid w:val="007C27AC"/>
    <w:rsid w:val="007C2AAE"/>
    <w:rsid w:val="007C2BFD"/>
    <w:rsid w:val="007C2C35"/>
    <w:rsid w:val="007C2CC7"/>
    <w:rsid w:val="007C3598"/>
    <w:rsid w:val="007C366C"/>
    <w:rsid w:val="007C37B2"/>
    <w:rsid w:val="007C3996"/>
    <w:rsid w:val="007C39CA"/>
    <w:rsid w:val="007C3AAB"/>
    <w:rsid w:val="007C3DA4"/>
    <w:rsid w:val="007C3DC8"/>
    <w:rsid w:val="007C3F0E"/>
    <w:rsid w:val="007C3FA8"/>
    <w:rsid w:val="007C3FC0"/>
    <w:rsid w:val="007C407B"/>
    <w:rsid w:val="007C4240"/>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687"/>
    <w:rsid w:val="007C6781"/>
    <w:rsid w:val="007C6798"/>
    <w:rsid w:val="007C6815"/>
    <w:rsid w:val="007C686E"/>
    <w:rsid w:val="007C68DA"/>
    <w:rsid w:val="007C6D23"/>
    <w:rsid w:val="007C6DE8"/>
    <w:rsid w:val="007C6F19"/>
    <w:rsid w:val="007C6F32"/>
    <w:rsid w:val="007C7058"/>
    <w:rsid w:val="007C7A90"/>
    <w:rsid w:val="007C7B16"/>
    <w:rsid w:val="007C7D92"/>
    <w:rsid w:val="007D0020"/>
    <w:rsid w:val="007D002F"/>
    <w:rsid w:val="007D02D1"/>
    <w:rsid w:val="007D03D8"/>
    <w:rsid w:val="007D03F9"/>
    <w:rsid w:val="007D06EF"/>
    <w:rsid w:val="007D0891"/>
    <w:rsid w:val="007D0A3C"/>
    <w:rsid w:val="007D111D"/>
    <w:rsid w:val="007D11DD"/>
    <w:rsid w:val="007D1305"/>
    <w:rsid w:val="007D131A"/>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AE"/>
    <w:rsid w:val="007D303F"/>
    <w:rsid w:val="007D3201"/>
    <w:rsid w:val="007D3709"/>
    <w:rsid w:val="007D372F"/>
    <w:rsid w:val="007D3747"/>
    <w:rsid w:val="007D383D"/>
    <w:rsid w:val="007D39F7"/>
    <w:rsid w:val="007D3A99"/>
    <w:rsid w:val="007D3B4B"/>
    <w:rsid w:val="007D3F9B"/>
    <w:rsid w:val="007D4178"/>
    <w:rsid w:val="007D4300"/>
    <w:rsid w:val="007D46CE"/>
    <w:rsid w:val="007D46F4"/>
    <w:rsid w:val="007D4816"/>
    <w:rsid w:val="007D4982"/>
    <w:rsid w:val="007D4AE3"/>
    <w:rsid w:val="007D4D33"/>
    <w:rsid w:val="007D4EA3"/>
    <w:rsid w:val="007D4FE7"/>
    <w:rsid w:val="007D504F"/>
    <w:rsid w:val="007D53CA"/>
    <w:rsid w:val="007D5573"/>
    <w:rsid w:val="007D5C3C"/>
    <w:rsid w:val="007D5E2A"/>
    <w:rsid w:val="007D603F"/>
    <w:rsid w:val="007D63CB"/>
    <w:rsid w:val="007D679A"/>
    <w:rsid w:val="007D6E33"/>
    <w:rsid w:val="007D6E6F"/>
    <w:rsid w:val="007D6F49"/>
    <w:rsid w:val="007D6FB8"/>
    <w:rsid w:val="007D7175"/>
    <w:rsid w:val="007D71F5"/>
    <w:rsid w:val="007D7290"/>
    <w:rsid w:val="007D76F0"/>
    <w:rsid w:val="007D7DCA"/>
    <w:rsid w:val="007E01EC"/>
    <w:rsid w:val="007E03DD"/>
    <w:rsid w:val="007E058D"/>
    <w:rsid w:val="007E07CF"/>
    <w:rsid w:val="007E08DA"/>
    <w:rsid w:val="007E0BD0"/>
    <w:rsid w:val="007E1369"/>
    <w:rsid w:val="007E1454"/>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B5"/>
    <w:rsid w:val="007E34D4"/>
    <w:rsid w:val="007E36DA"/>
    <w:rsid w:val="007E38A0"/>
    <w:rsid w:val="007E39CF"/>
    <w:rsid w:val="007E3BF8"/>
    <w:rsid w:val="007E3F3B"/>
    <w:rsid w:val="007E4181"/>
    <w:rsid w:val="007E43F7"/>
    <w:rsid w:val="007E43F9"/>
    <w:rsid w:val="007E4C88"/>
    <w:rsid w:val="007E4CDE"/>
    <w:rsid w:val="007E4EB9"/>
    <w:rsid w:val="007E50D4"/>
    <w:rsid w:val="007E5280"/>
    <w:rsid w:val="007E5509"/>
    <w:rsid w:val="007E55C1"/>
    <w:rsid w:val="007E585E"/>
    <w:rsid w:val="007E5976"/>
    <w:rsid w:val="007E599D"/>
    <w:rsid w:val="007E5A93"/>
    <w:rsid w:val="007E5C1C"/>
    <w:rsid w:val="007E5D2B"/>
    <w:rsid w:val="007E5E52"/>
    <w:rsid w:val="007E5E8D"/>
    <w:rsid w:val="007E5F41"/>
    <w:rsid w:val="007E6446"/>
    <w:rsid w:val="007E64CD"/>
    <w:rsid w:val="007E6542"/>
    <w:rsid w:val="007E6985"/>
    <w:rsid w:val="007E6986"/>
    <w:rsid w:val="007E6AC4"/>
    <w:rsid w:val="007E6BCC"/>
    <w:rsid w:val="007E6CD6"/>
    <w:rsid w:val="007E6E4D"/>
    <w:rsid w:val="007E723B"/>
    <w:rsid w:val="007E7353"/>
    <w:rsid w:val="007E740B"/>
    <w:rsid w:val="007E741C"/>
    <w:rsid w:val="007E757E"/>
    <w:rsid w:val="007E7593"/>
    <w:rsid w:val="007E7756"/>
    <w:rsid w:val="007E7780"/>
    <w:rsid w:val="007E7A00"/>
    <w:rsid w:val="007E7C48"/>
    <w:rsid w:val="007E7D9E"/>
    <w:rsid w:val="007E7DDF"/>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6C1"/>
    <w:rsid w:val="007F27DD"/>
    <w:rsid w:val="007F2A37"/>
    <w:rsid w:val="007F2CB7"/>
    <w:rsid w:val="007F2CF7"/>
    <w:rsid w:val="007F2F70"/>
    <w:rsid w:val="007F2FCD"/>
    <w:rsid w:val="007F32E9"/>
    <w:rsid w:val="007F33CA"/>
    <w:rsid w:val="007F33EB"/>
    <w:rsid w:val="007F37A0"/>
    <w:rsid w:val="007F3D8A"/>
    <w:rsid w:val="007F3F14"/>
    <w:rsid w:val="007F3F7E"/>
    <w:rsid w:val="007F4019"/>
    <w:rsid w:val="007F437D"/>
    <w:rsid w:val="007F4602"/>
    <w:rsid w:val="007F474D"/>
    <w:rsid w:val="007F4D20"/>
    <w:rsid w:val="007F4D9F"/>
    <w:rsid w:val="007F4F27"/>
    <w:rsid w:val="007F4FCA"/>
    <w:rsid w:val="007F5565"/>
    <w:rsid w:val="007F5799"/>
    <w:rsid w:val="007F5861"/>
    <w:rsid w:val="007F593A"/>
    <w:rsid w:val="007F59B5"/>
    <w:rsid w:val="007F5A94"/>
    <w:rsid w:val="007F5ADC"/>
    <w:rsid w:val="007F5B61"/>
    <w:rsid w:val="007F5C75"/>
    <w:rsid w:val="007F5EDD"/>
    <w:rsid w:val="007F6183"/>
    <w:rsid w:val="007F61C5"/>
    <w:rsid w:val="007F64A1"/>
    <w:rsid w:val="007F64ED"/>
    <w:rsid w:val="007F669F"/>
    <w:rsid w:val="007F6880"/>
    <w:rsid w:val="007F68EB"/>
    <w:rsid w:val="007F6A15"/>
    <w:rsid w:val="007F6E02"/>
    <w:rsid w:val="007F7206"/>
    <w:rsid w:val="007F7264"/>
    <w:rsid w:val="007F7269"/>
    <w:rsid w:val="007F76B4"/>
    <w:rsid w:val="007F7988"/>
    <w:rsid w:val="007F7CFD"/>
    <w:rsid w:val="007F7FEB"/>
    <w:rsid w:val="0080014D"/>
    <w:rsid w:val="008001B4"/>
    <w:rsid w:val="008001FE"/>
    <w:rsid w:val="00800269"/>
    <w:rsid w:val="00800769"/>
    <w:rsid w:val="00800B81"/>
    <w:rsid w:val="00800C09"/>
    <w:rsid w:val="00800D43"/>
    <w:rsid w:val="00800ED2"/>
    <w:rsid w:val="0080103C"/>
    <w:rsid w:val="008012C2"/>
    <w:rsid w:val="00801391"/>
    <w:rsid w:val="008016E4"/>
    <w:rsid w:val="008017DA"/>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21"/>
    <w:rsid w:val="00805092"/>
    <w:rsid w:val="008050E2"/>
    <w:rsid w:val="008057CA"/>
    <w:rsid w:val="00805D44"/>
    <w:rsid w:val="008063F2"/>
    <w:rsid w:val="008065FD"/>
    <w:rsid w:val="00806AAF"/>
    <w:rsid w:val="00806D25"/>
    <w:rsid w:val="008070AC"/>
    <w:rsid w:val="00807321"/>
    <w:rsid w:val="0080776B"/>
    <w:rsid w:val="0080781F"/>
    <w:rsid w:val="008078A7"/>
    <w:rsid w:val="008078BF"/>
    <w:rsid w:val="00807928"/>
    <w:rsid w:val="008101FD"/>
    <w:rsid w:val="008102DE"/>
    <w:rsid w:val="00810802"/>
    <w:rsid w:val="00810AB5"/>
    <w:rsid w:val="00810D57"/>
    <w:rsid w:val="00810D8D"/>
    <w:rsid w:val="00810F1F"/>
    <w:rsid w:val="0081124A"/>
    <w:rsid w:val="00811250"/>
    <w:rsid w:val="00811457"/>
    <w:rsid w:val="008114D8"/>
    <w:rsid w:val="00811835"/>
    <w:rsid w:val="00811ABF"/>
    <w:rsid w:val="00811AE7"/>
    <w:rsid w:val="00811AE8"/>
    <w:rsid w:val="00811C1C"/>
    <w:rsid w:val="00811C2E"/>
    <w:rsid w:val="00811E3E"/>
    <w:rsid w:val="00811E70"/>
    <w:rsid w:val="00811FD1"/>
    <w:rsid w:val="0081249F"/>
    <w:rsid w:val="00812B8F"/>
    <w:rsid w:val="00812C68"/>
    <w:rsid w:val="00813633"/>
    <w:rsid w:val="008139EC"/>
    <w:rsid w:val="00813FFB"/>
    <w:rsid w:val="008141E9"/>
    <w:rsid w:val="00814219"/>
    <w:rsid w:val="008142AC"/>
    <w:rsid w:val="008144EE"/>
    <w:rsid w:val="008146F7"/>
    <w:rsid w:val="00814804"/>
    <w:rsid w:val="00814905"/>
    <w:rsid w:val="008149BE"/>
    <w:rsid w:val="00814B77"/>
    <w:rsid w:val="008153EA"/>
    <w:rsid w:val="008155F4"/>
    <w:rsid w:val="0081581D"/>
    <w:rsid w:val="00815ADF"/>
    <w:rsid w:val="00815CF4"/>
    <w:rsid w:val="00816365"/>
    <w:rsid w:val="00816371"/>
    <w:rsid w:val="00816527"/>
    <w:rsid w:val="00816561"/>
    <w:rsid w:val="00816729"/>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0D98"/>
    <w:rsid w:val="00820FF7"/>
    <w:rsid w:val="00821041"/>
    <w:rsid w:val="00821177"/>
    <w:rsid w:val="00821346"/>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3A4"/>
    <w:rsid w:val="0082482A"/>
    <w:rsid w:val="00824C4B"/>
    <w:rsid w:val="00824CA6"/>
    <w:rsid w:val="00824F5B"/>
    <w:rsid w:val="00824FD5"/>
    <w:rsid w:val="00824FDF"/>
    <w:rsid w:val="00825125"/>
    <w:rsid w:val="008252B4"/>
    <w:rsid w:val="008253BE"/>
    <w:rsid w:val="008253CE"/>
    <w:rsid w:val="00825462"/>
    <w:rsid w:val="008257CC"/>
    <w:rsid w:val="008258BE"/>
    <w:rsid w:val="00825A98"/>
    <w:rsid w:val="00825C80"/>
    <w:rsid w:val="00825D28"/>
    <w:rsid w:val="00825F14"/>
    <w:rsid w:val="0082631B"/>
    <w:rsid w:val="00826889"/>
    <w:rsid w:val="0082698B"/>
    <w:rsid w:val="00826ADF"/>
    <w:rsid w:val="00826B2D"/>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113F"/>
    <w:rsid w:val="00831181"/>
    <w:rsid w:val="008312EF"/>
    <w:rsid w:val="00831543"/>
    <w:rsid w:val="00831555"/>
    <w:rsid w:val="00831830"/>
    <w:rsid w:val="00831F52"/>
    <w:rsid w:val="00831F73"/>
    <w:rsid w:val="00831F76"/>
    <w:rsid w:val="0083208F"/>
    <w:rsid w:val="00832154"/>
    <w:rsid w:val="008322D0"/>
    <w:rsid w:val="00832362"/>
    <w:rsid w:val="00832614"/>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757"/>
    <w:rsid w:val="00834A95"/>
    <w:rsid w:val="00834C51"/>
    <w:rsid w:val="00834D40"/>
    <w:rsid w:val="00834EA7"/>
    <w:rsid w:val="00835118"/>
    <w:rsid w:val="008359E0"/>
    <w:rsid w:val="00835B86"/>
    <w:rsid w:val="00835DAA"/>
    <w:rsid w:val="00835F41"/>
    <w:rsid w:val="00836098"/>
    <w:rsid w:val="008360A8"/>
    <w:rsid w:val="00836231"/>
    <w:rsid w:val="008362DD"/>
    <w:rsid w:val="008365CD"/>
    <w:rsid w:val="00836723"/>
    <w:rsid w:val="008367ED"/>
    <w:rsid w:val="00836A03"/>
    <w:rsid w:val="00836DDF"/>
    <w:rsid w:val="00837228"/>
    <w:rsid w:val="008376F6"/>
    <w:rsid w:val="008378D5"/>
    <w:rsid w:val="00837C83"/>
    <w:rsid w:val="00837D5B"/>
    <w:rsid w:val="00837EE1"/>
    <w:rsid w:val="0084047D"/>
    <w:rsid w:val="00840607"/>
    <w:rsid w:val="00840747"/>
    <w:rsid w:val="00840ADF"/>
    <w:rsid w:val="00840B5F"/>
    <w:rsid w:val="00840CE4"/>
    <w:rsid w:val="00840FB4"/>
    <w:rsid w:val="0084123C"/>
    <w:rsid w:val="0084126B"/>
    <w:rsid w:val="008412A5"/>
    <w:rsid w:val="0084141A"/>
    <w:rsid w:val="008414A3"/>
    <w:rsid w:val="008414BD"/>
    <w:rsid w:val="0084157A"/>
    <w:rsid w:val="0084164E"/>
    <w:rsid w:val="008418CD"/>
    <w:rsid w:val="00841CD2"/>
    <w:rsid w:val="00841DB1"/>
    <w:rsid w:val="008421C3"/>
    <w:rsid w:val="008425BA"/>
    <w:rsid w:val="008426CF"/>
    <w:rsid w:val="0084277E"/>
    <w:rsid w:val="00842B77"/>
    <w:rsid w:val="0084309F"/>
    <w:rsid w:val="00843140"/>
    <w:rsid w:val="0084342E"/>
    <w:rsid w:val="008437F8"/>
    <w:rsid w:val="00843D04"/>
    <w:rsid w:val="00844182"/>
    <w:rsid w:val="00844573"/>
    <w:rsid w:val="008447A1"/>
    <w:rsid w:val="00844CCE"/>
    <w:rsid w:val="00844E46"/>
    <w:rsid w:val="0084508E"/>
    <w:rsid w:val="008453DA"/>
    <w:rsid w:val="0084550F"/>
    <w:rsid w:val="008455FA"/>
    <w:rsid w:val="00845779"/>
    <w:rsid w:val="00845815"/>
    <w:rsid w:val="00845860"/>
    <w:rsid w:val="00845C12"/>
    <w:rsid w:val="00845EE7"/>
    <w:rsid w:val="008463F8"/>
    <w:rsid w:val="0084656C"/>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3DC"/>
    <w:rsid w:val="0085055B"/>
    <w:rsid w:val="008505FC"/>
    <w:rsid w:val="0085063B"/>
    <w:rsid w:val="008506B6"/>
    <w:rsid w:val="008508ED"/>
    <w:rsid w:val="00850AE0"/>
    <w:rsid w:val="00850BEC"/>
    <w:rsid w:val="00850C9D"/>
    <w:rsid w:val="00850DE7"/>
    <w:rsid w:val="008510D9"/>
    <w:rsid w:val="0085137A"/>
    <w:rsid w:val="008514D7"/>
    <w:rsid w:val="00851684"/>
    <w:rsid w:val="00851C1D"/>
    <w:rsid w:val="008520B5"/>
    <w:rsid w:val="0085210D"/>
    <w:rsid w:val="0085216B"/>
    <w:rsid w:val="008524D2"/>
    <w:rsid w:val="008525AC"/>
    <w:rsid w:val="0085262D"/>
    <w:rsid w:val="0085285D"/>
    <w:rsid w:val="00852B50"/>
    <w:rsid w:val="00852BC0"/>
    <w:rsid w:val="00852E19"/>
    <w:rsid w:val="00852F6A"/>
    <w:rsid w:val="00853143"/>
    <w:rsid w:val="008532B1"/>
    <w:rsid w:val="00853770"/>
    <w:rsid w:val="0085395B"/>
    <w:rsid w:val="00853C35"/>
    <w:rsid w:val="008543D5"/>
    <w:rsid w:val="008549DF"/>
    <w:rsid w:val="00854B74"/>
    <w:rsid w:val="00854DD5"/>
    <w:rsid w:val="00854DED"/>
    <w:rsid w:val="00855075"/>
    <w:rsid w:val="008552D9"/>
    <w:rsid w:val="008552FE"/>
    <w:rsid w:val="00855776"/>
    <w:rsid w:val="008557A4"/>
    <w:rsid w:val="00855936"/>
    <w:rsid w:val="00855CCE"/>
    <w:rsid w:val="00855CE2"/>
    <w:rsid w:val="0085603F"/>
    <w:rsid w:val="00856142"/>
    <w:rsid w:val="0085627F"/>
    <w:rsid w:val="00856468"/>
    <w:rsid w:val="0085657F"/>
    <w:rsid w:val="0085677F"/>
    <w:rsid w:val="00856833"/>
    <w:rsid w:val="00856840"/>
    <w:rsid w:val="00856992"/>
    <w:rsid w:val="00856B36"/>
    <w:rsid w:val="00856C49"/>
    <w:rsid w:val="00856E9C"/>
    <w:rsid w:val="0085737C"/>
    <w:rsid w:val="008576B7"/>
    <w:rsid w:val="008579F1"/>
    <w:rsid w:val="00857B1E"/>
    <w:rsid w:val="00857D20"/>
    <w:rsid w:val="0086035B"/>
    <w:rsid w:val="008603DB"/>
    <w:rsid w:val="0086045A"/>
    <w:rsid w:val="0086087C"/>
    <w:rsid w:val="00860979"/>
    <w:rsid w:val="00860B73"/>
    <w:rsid w:val="00860D8E"/>
    <w:rsid w:val="00860E30"/>
    <w:rsid w:val="00860E8C"/>
    <w:rsid w:val="00860F27"/>
    <w:rsid w:val="0086143D"/>
    <w:rsid w:val="0086167F"/>
    <w:rsid w:val="00861940"/>
    <w:rsid w:val="00861963"/>
    <w:rsid w:val="00861B5E"/>
    <w:rsid w:val="00861FFE"/>
    <w:rsid w:val="008620A0"/>
    <w:rsid w:val="0086275E"/>
    <w:rsid w:val="0086297D"/>
    <w:rsid w:val="00862C55"/>
    <w:rsid w:val="00862D0A"/>
    <w:rsid w:val="00862FDF"/>
    <w:rsid w:val="00863016"/>
    <w:rsid w:val="0086314E"/>
    <w:rsid w:val="00863896"/>
    <w:rsid w:val="00863B19"/>
    <w:rsid w:val="00863E53"/>
    <w:rsid w:val="00863F62"/>
    <w:rsid w:val="008641C0"/>
    <w:rsid w:val="00864440"/>
    <w:rsid w:val="008644BC"/>
    <w:rsid w:val="00864D76"/>
    <w:rsid w:val="00864F3B"/>
    <w:rsid w:val="00864FCC"/>
    <w:rsid w:val="008650EC"/>
    <w:rsid w:val="008650FC"/>
    <w:rsid w:val="00865166"/>
    <w:rsid w:val="008652DB"/>
    <w:rsid w:val="00865300"/>
    <w:rsid w:val="00865E1A"/>
    <w:rsid w:val="00865F0B"/>
    <w:rsid w:val="008661D5"/>
    <w:rsid w:val="0086628A"/>
    <w:rsid w:val="00866565"/>
    <w:rsid w:val="0086657C"/>
    <w:rsid w:val="00866695"/>
    <w:rsid w:val="00866995"/>
    <w:rsid w:val="00866B55"/>
    <w:rsid w:val="00866EB3"/>
    <w:rsid w:val="00866EF8"/>
    <w:rsid w:val="0086701A"/>
    <w:rsid w:val="008672A9"/>
    <w:rsid w:val="0086761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5A"/>
    <w:rsid w:val="00871989"/>
    <w:rsid w:val="00871D20"/>
    <w:rsid w:val="00871D39"/>
    <w:rsid w:val="00871EB6"/>
    <w:rsid w:val="00871F39"/>
    <w:rsid w:val="008720CD"/>
    <w:rsid w:val="00872803"/>
    <w:rsid w:val="00872AA8"/>
    <w:rsid w:val="00872BBA"/>
    <w:rsid w:val="00872C9F"/>
    <w:rsid w:val="00872D3F"/>
    <w:rsid w:val="00872D8D"/>
    <w:rsid w:val="008731C3"/>
    <w:rsid w:val="008731E5"/>
    <w:rsid w:val="008731FF"/>
    <w:rsid w:val="00873248"/>
    <w:rsid w:val="00873309"/>
    <w:rsid w:val="008733E4"/>
    <w:rsid w:val="00873773"/>
    <w:rsid w:val="00873DE5"/>
    <w:rsid w:val="00873F15"/>
    <w:rsid w:val="00874096"/>
    <w:rsid w:val="0087428A"/>
    <w:rsid w:val="00874446"/>
    <w:rsid w:val="008744B4"/>
    <w:rsid w:val="0087464B"/>
    <w:rsid w:val="008749AF"/>
    <w:rsid w:val="00874ACE"/>
    <w:rsid w:val="00874EF6"/>
    <w:rsid w:val="00875009"/>
    <w:rsid w:val="00875226"/>
    <w:rsid w:val="008753E3"/>
    <w:rsid w:val="0087544B"/>
    <w:rsid w:val="008756A4"/>
    <w:rsid w:val="008758CA"/>
    <w:rsid w:val="0087593D"/>
    <w:rsid w:val="00875A29"/>
    <w:rsid w:val="00875C94"/>
    <w:rsid w:val="00875F73"/>
    <w:rsid w:val="008760DE"/>
    <w:rsid w:val="008763C2"/>
    <w:rsid w:val="00876981"/>
    <w:rsid w:val="00876EB1"/>
    <w:rsid w:val="00877367"/>
    <w:rsid w:val="008776A6"/>
    <w:rsid w:val="00877A38"/>
    <w:rsid w:val="00877C61"/>
    <w:rsid w:val="00877D1E"/>
    <w:rsid w:val="008803E2"/>
    <w:rsid w:val="008804AB"/>
    <w:rsid w:val="00880583"/>
    <w:rsid w:val="0088071A"/>
    <w:rsid w:val="00880779"/>
    <w:rsid w:val="00880990"/>
    <w:rsid w:val="008809FC"/>
    <w:rsid w:val="00880C50"/>
    <w:rsid w:val="00880D97"/>
    <w:rsid w:val="00880F30"/>
    <w:rsid w:val="008811B9"/>
    <w:rsid w:val="008813CB"/>
    <w:rsid w:val="0088142D"/>
    <w:rsid w:val="008814DD"/>
    <w:rsid w:val="008819E0"/>
    <w:rsid w:val="00881A15"/>
    <w:rsid w:val="00881ABC"/>
    <w:rsid w:val="00881F9D"/>
    <w:rsid w:val="00882055"/>
    <w:rsid w:val="0088213A"/>
    <w:rsid w:val="008821F2"/>
    <w:rsid w:val="008821F7"/>
    <w:rsid w:val="0088265C"/>
    <w:rsid w:val="00882A81"/>
    <w:rsid w:val="00882C40"/>
    <w:rsid w:val="00882C86"/>
    <w:rsid w:val="00882E50"/>
    <w:rsid w:val="00882FAE"/>
    <w:rsid w:val="008832B5"/>
    <w:rsid w:val="008833E8"/>
    <w:rsid w:val="0088360F"/>
    <w:rsid w:val="008838B6"/>
    <w:rsid w:val="008839F1"/>
    <w:rsid w:val="00883DEB"/>
    <w:rsid w:val="0088440C"/>
    <w:rsid w:val="00885332"/>
    <w:rsid w:val="0088571E"/>
    <w:rsid w:val="00885A78"/>
    <w:rsid w:val="00885ACB"/>
    <w:rsid w:val="00885B76"/>
    <w:rsid w:val="0088610C"/>
    <w:rsid w:val="008861FD"/>
    <w:rsid w:val="008864A9"/>
    <w:rsid w:val="00886501"/>
    <w:rsid w:val="0088654E"/>
    <w:rsid w:val="0088660C"/>
    <w:rsid w:val="0088660F"/>
    <w:rsid w:val="00886BB5"/>
    <w:rsid w:val="00886DBA"/>
    <w:rsid w:val="00887017"/>
    <w:rsid w:val="008871A2"/>
    <w:rsid w:val="008875C3"/>
    <w:rsid w:val="0088779E"/>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2051"/>
    <w:rsid w:val="008922C3"/>
    <w:rsid w:val="00892365"/>
    <w:rsid w:val="008923B7"/>
    <w:rsid w:val="00892404"/>
    <w:rsid w:val="008924B6"/>
    <w:rsid w:val="008927C8"/>
    <w:rsid w:val="00892B7E"/>
    <w:rsid w:val="00892BE5"/>
    <w:rsid w:val="00892D9A"/>
    <w:rsid w:val="00892FD5"/>
    <w:rsid w:val="008931B3"/>
    <w:rsid w:val="008932AF"/>
    <w:rsid w:val="0089344E"/>
    <w:rsid w:val="008934E4"/>
    <w:rsid w:val="00893653"/>
    <w:rsid w:val="008937E5"/>
    <w:rsid w:val="0089387C"/>
    <w:rsid w:val="00893B05"/>
    <w:rsid w:val="00893D5A"/>
    <w:rsid w:val="00893E28"/>
    <w:rsid w:val="008940F2"/>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8C"/>
    <w:rsid w:val="00896991"/>
    <w:rsid w:val="008969EC"/>
    <w:rsid w:val="00896AF9"/>
    <w:rsid w:val="00896C81"/>
    <w:rsid w:val="00896D74"/>
    <w:rsid w:val="00896D83"/>
    <w:rsid w:val="00897017"/>
    <w:rsid w:val="00897316"/>
    <w:rsid w:val="0089772E"/>
    <w:rsid w:val="0089783A"/>
    <w:rsid w:val="0089795D"/>
    <w:rsid w:val="00897BA0"/>
    <w:rsid w:val="008A024E"/>
    <w:rsid w:val="008A02FB"/>
    <w:rsid w:val="008A055E"/>
    <w:rsid w:val="008A070A"/>
    <w:rsid w:val="008A0916"/>
    <w:rsid w:val="008A0AB2"/>
    <w:rsid w:val="008A0BD9"/>
    <w:rsid w:val="008A0CFC"/>
    <w:rsid w:val="008A0D8E"/>
    <w:rsid w:val="008A0EC3"/>
    <w:rsid w:val="008A12FE"/>
    <w:rsid w:val="008A1714"/>
    <w:rsid w:val="008A1879"/>
    <w:rsid w:val="008A1DB4"/>
    <w:rsid w:val="008A22B2"/>
    <w:rsid w:val="008A2603"/>
    <w:rsid w:val="008A26C8"/>
    <w:rsid w:val="008A2765"/>
    <w:rsid w:val="008A27B7"/>
    <w:rsid w:val="008A2892"/>
    <w:rsid w:val="008A28B6"/>
    <w:rsid w:val="008A293E"/>
    <w:rsid w:val="008A2B37"/>
    <w:rsid w:val="008A2BB1"/>
    <w:rsid w:val="008A2E0E"/>
    <w:rsid w:val="008A2FAD"/>
    <w:rsid w:val="008A3014"/>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5096"/>
    <w:rsid w:val="008A520D"/>
    <w:rsid w:val="008A5610"/>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FA"/>
    <w:rsid w:val="008B0AEC"/>
    <w:rsid w:val="008B0F72"/>
    <w:rsid w:val="008B1104"/>
    <w:rsid w:val="008B19E7"/>
    <w:rsid w:val="008B1D39"/>
    <w:rsid w:val="008B1E53"/>
    <w:rsid w:val="008B1E5B"/>
    <w:rsid w:val="008B1F95"/>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5299"/>
    <w:rsid w:val="008B53F1"/>
    <w:rsid w:val="008B57E9"/>
    <w:rsid w:val="008B5A5F"/>
    <w:rsid w:val="008B5AB0"/>
    <w:rsid w:val="008B5BA4"/>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B08"/>
    <w:rsid w:val="008C01D5"/>
    <w:rsid w:val="008C0634"/>
    <w:rsid w:val="008C07F5"/>
    <w:rsid w:val="008C0829"/>
    <w:rsid w:val="008C09C6"/>
    <w:rsid w:val="008C0A72"/>
    <w:rsid w:val="008C0C41"/>
    <w:rsid w:val="008C0CC3"/>
    <w:rsid w:val="008C0CF3"/>
    <w:rsid w:val="008C1293"/>
    <w:rsid w:val="008C13F0"/>
    <w:rsid w:val="008C1989"/>
    <w:rsid w:val="008C19D8"/>
    <w:rsid w:val="008C1C7E"/>
    <w:rsid w:val="008C1D73"/>
    <w:rsid w:val="008C1F26"/>
    <w:rsid w:val="008C21D6"/>
    <w:rsid w:val="008C262C"/>
    <w:rsid w:val="008C2770"/>
    <w:rsid w:val="008C2A3A"/>
    <w:rsid w:val="008C2CD6"/>
    <w:rsid w:val="008C2E42"/>
    <w:rsid w:val="008C2FD9"/>
    <w:rsid w:val="008C30B9"/>
    <w:rsid w:val="008C3545"/>
    <w:rsid w:val="008C390A"/>
    <w:rsid w:val="008C3ED3"/>
    <w:rsid w:val="008C43FD"/>
    <w:rsid w:val="008C44F6"/>
    <w:rsid w:val="008C46E3"/>
    <w:rsid w:val="008C4A38"/>
    <w:rsid w:val="008C4A56"/>
    <w:rsid w:val="008C4C44"/>
    <w:rsid w:val="008C4C7E"/>
    <w:rsid w:val="008C4CAF"/>
    <w:rsid w:val="008C4EE9"/>
    <w:rsid w:val="008C5219"/>
    <w:rsid w:val="008C532D"/>
    <w:rsid w:val="008C5533"/>
    <w:rsid w:val="008C55E3"/>
    <w:rsid w:val="008C5C46"/>
    <w:rsid w:val="008C5CBA"/>
    <w:rsid w:val="008C6147"/>
    <w:rsid w:val="008C6184"/>
    <w:rsid w:val="008C62B8"/>
    <w:rsid w:val="008C6398"/>
    <w:rsid w:val="008C6818"/>
    <w:rsid w:val="008C6840"/>
    <w:rsid w:val="008C6CE0"/>
    <w:rsid w:val="008C72F4"/>
    <w:rsid w:val="008C785E"/>
    <w:rsid w:val="008C798A"/>
    <w:rsid w:val="008C7D03"/>
    <w:rsid w:val="008D020E"/>
    <w:rsid w:val="008D02FA"/>
    <w:rsid w:val="008D0368"/>
    <w:rsid w:val="008D0399"/>
    <w:rsid w:val="008D03C8"/>
    <w:rsid w:val="008D08AD"/>
    <w:rsid w:val="008D0AFB"/>
    <w:rsid w:val="008D0B13"/>
    <w:rsid w:val="008D0DE9"/>
    <w:rsid w:val="008D105A"/>
    <w:rsid w:val="008D1238"/>
    <w:rsid w:val="008D1511"/>
    <w:rsid w:val="008D165D"/>
    <w:rsid w:val="008D16BE"/>
    <w:rsid w:val="008D171E"/>
    <w:rsid w:val="008D181A"/>
    <w:rsid w:val="008D181B"/>
    <w:rsid w:val="008D1EC7"/>
    <w:rsid w:val="008D237D"/>
    <w:rsid w:val="008D25FC"/>
    <w:rsid w:val="008D265F"/>
    <w:rsid w:val="008D279D"/>
    <w:rsid w:val="008D27D2"/>
    <w:rsid w:val="008D27D9"/>
    <w:rsid w:val="008D285D"/>
    <w:rsid w:val="008D28D8"/>
    <w:rsid w:val="008D2B17"/>
    <w:rsid w:val="008D2CFC"/>
    <w:rsid w:val="008D2E5E"/>
    <w:rsid w:val="008D3255"/>
    <w:rsid w:val="008D32DF"/>
    <w:rsid w:val="008D3539"/>
    <w:rsid w:val="008D3578"/>
    <w:rsid w:val="008D35E7"/>
    <w:rsid w:val="008D35E9"/>
    <w:rsid w:val="008D3959"/>
    <w:rsid w:val="008D3966"/>
    <w:rsid w:val="008D3A30"/>
    <w:rsid w:val="008D3B39"/>
    <w:rsid w:val="008D3BCF"/>
    <w:rsid w:val="008D3D9B"/>
    <w:rsid w:val="008D4017"/>
    <w:rsid w:val="008D41EC"/>
    <w:rsid w:val="008D4352"/>
    <w:rsid w:val="008D44E6"/>
    <w:rsid w:val="008D4CE3"/>
    <w:rsid w:val="008D506F"/>
    <w:rsid w:val="008D554C"/>
    <w:rsid w:val="008D59A7"/>
    <w:rsid w:val="008D5BB2"/>
    <w:rsid w:val="008D5BF4"/>
    <w:rsid w:val="008D5C49"/>
    <w:rsid w:val="008D5C93"/>
    <w:rsid w:val="008D5D87"/>
    <w:rsid w:val="008D6021"/>
    <w:rsid w:val="008D607B"/>
    <w:rsid w:val="008D60BC"/>
    <w:rsid w:val="008D60D2"/>
    <w:rsid w:val="008D62F1"/>
    <w:rsid w:val="008D656D"/>
    <w:rsid w:val="008D6886"/>
    <w:rsid w:val="008D68C6"/>
    <w:rsid w:val="008D6CF8"/>
    <w:rsid w:val="008D6D7B"/>
    <w:rsid w:val="008D70C4"/>
    <w:rsid w:val="008D7353"/>
    <w:rsid w:val="008D73C1"/>
    <w:rsid w:val="008D752C"/>
    <w:rsid w:val="008D7911"/>
    <w:rsid w:val="008D7AA5"/>
    <w:rsid w:val="008D7DEF"/>
    <w:rsid w:val="008D7E3E"/>
    <w:rsid w:val="008D7EB7"/>
    <w:rsid w:val="008E020E"/>
    <w:rsid w:val="008E055F"/>
    <w:rsid w:val="008E080E"/>
    <w:rsid w:val="008E0CA0"/>
    <w:rsid w:val="008E0E57"/>
    <w:rsid w:val="008E0EB8"/>
    <w:rsid w:val="008E0F35"/>
    <w:rsid w:val="008E10A6"/>
    <w:rsid w:val="008E11B7"/>
    <w:rsid w:val="008E1271"/>
    <w:rsid w:val="008E19B0"/>
    <w:rsid w:val="008E1A98"/>
    <w:rsid w:val="008E1AA8"/>
    <w:rsid w:val="008E1C61"/>
    <w:rsid w:val="008E1DAB"/>
    <w:rsid w:val="008E2251"/>
    <w:rsid w:val="008E23F5"/>
    <w:rsid w:val="008E24B3"/>
    <w:rsid w:val="008E24CA"/>
    <w:rsid w:val="008E2A57"/>
    <w:rsid w:val="008E2C51"/>
    <w:rsid w:val="008E2D36"/>
    <w:rsid w:val="008E2F6E"/>
    <w:rsid w:val="008E3134"/>
    <w:rsid w:val="008E31E5"/>
    <w:rsid w:val="008E333B"/>
    <w:rsid w:val="008E3565"/>
    <w:rsid w:val="008E3626"/>
    <w:rsid w:val="008E38AD"/>
    <w:rsid w:val="008E38F4"/>
    <w:rsid w:val="008E3AA0"/>
    <w:rsid w:val="008E3DCB"/>
    <w:rsid w:val="008E3EEC"/>
    <w:rsid w:val="008E4353"/>
    <w:rsid w:val="008E490E"/>
    <w:rsid w:val="008E4A9E"/>
    <w:rsid w:val="008E4B6C"/>
    <w:rsid w:val="008E5044"/>
    <w:rsid w:val="008E529D"/>
    <w:rsid w:val="008E5453"/>
    <w:rsid w:val="008E5612"/>
    <w:rsid w:val="008E56F9"/>
    <w:rsid w:val="008E572D"/>
    <w:rsid w:val="008E5BF2"/>
    <w:rsid w:val="008E5C81"/>
    <w:rsid w:val="008E5F7F"/>
    <w:rsid w:val="008E5FEB"/>
    <w:rsid w:val="008E63B7"/>
    <w:rsid w:val="008E6612"/>
    <w:rsid w:val="008E6735"/>
    <w:rsid w:val="008E6AB9"/>
    <w:rsid w:val="008E7001"/>
    <w:rsid w:val="008E710A"/>
    <w:rsid w:val="008E73AB"/>
    <w:rsid w:val="008E7CD0"/>
    <w:rsid w:val="008E7E2E"/>
    <w:rsid w:val="008F001E"/>
    <w:rsid w:val="008F02A2"/>
    <w:rsid w:val="008F03B5"/>
    <w:rsid w:val="008F0A38"/>
    <w:rsid w:val="008F0B58"/>
    <w:rsid w:val="008F0C38"/>
    <w:rsid w:val="008F0DAD"/>
    <w:rsid w:val="008F0DBD"/>
    <w:rsid w:val="008F0DEB"/>
    <w:rsid w:val="008F0F72"/>
    <w:rsid w:val="008F0F84"/>
    <w:rsid w:val="008F1014"/>
    <w:rsid w:val="008F11C9"/>
    <w:rsid w:val="008F1430"/>
    <w:rsid w:val="008F17C4"/>
    <w:rsid w:val="008F1804"/>
    <w:rsid w:val="008F185F"/>
    <w:rsid w:val="008F19FC"/>
    <w:rsid w:val="008F1C2F"/>
    <w:rsid w:val="008F1E54"/>
    <w:rsid w:val="008F227E"/>
    <w:rsid w:val="008F23D8"/>
    <w:rsid w:val="008F241C"/>
    <w:rsid w:val="008F27C5"/>
    <w:rsid w:val="008F2932"/>
    <w:rsid w:val="008F2CFE"/>
    <w:rsid w:val="008F2ED0"/>
    <w:rsid w:val="008F2F57"/>
    <w:rsid w:val="008F2FD5"/>
    <w:rsid w:val="008F30B6"/>
    <w:rsid w:val="008F33CA"/>
    <w:rsid w:val="008F3532"/>
    <w:rsid w:val="008F358E"/>
    <w:rsid w:val="008F37E5"/>
    <w:rsid w:val="008F37EA"/>
    <w:rsid w:val="008F3910"/>
    <w:rsid w:val="008F3998"/>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EF"/>
    <w:rsid w:val="008F604F"/>
    <w:rsid w:val="008F616F"/>
    <w:rsid w:val="008F62D6"/>
    <w:rsid w:val="008F644E"/>
    <w:rsid w:val="008F651A"/>
    <w:rsid w:val="008F66FE"/>
    <w:rsid w:val="008F6F89"/>
    <w:rsid w:val="008F6FD3"/>
    <w:rsid w:val="008F72CC"/>
    <w:rsid w:val="008F72CD"/>
    <w:rsid w:val="008F75E3"/>
    <w:rsid w:val="008F7823"/>
    <w:rsid w:val="008F7E2C"/>
    <w:rsid w:val="008F7F9D"/>
    <w:rsid w:val="00900079"/>
    <w:rsid w:val="00900231"/>
    <w:rsid w:val="0090035D"/>
    <w:rsid w:val="00900430"/>
    <w:rsid w:val="0090048A"/>
    <w:rsid w:val="00900515"/>
    <w:rsid w:val="0090059C"/>
    <w:rsid w:val="0090072C"/>
    <w:rsid w:val="00900935"/>
    <w:rsid w:val="00900AC1"/>
    <w:rsid w:val="00900CD4"/>
    <w:rsid w:val="00900D22"/>
    <w:rsid w:val="00900D88"/>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E87"/>
    <w:rsid w:val="00903434"/>
    <w:rsid w:val="009034AE"/>
    <w:rsid w:val="009036D7"/>
    <w:rsid w:val="00903802"/>
    <w:rsid w:val="00903B53"/>
    <w:rsid w:val="00903F14"/>
    <w:rsid w:val="00903FEB"/>
    <w:rsid w:val="00904068"/>
    <w:rsid w:val="0090442F"/>
    <w:rsid w:val="00904993"/>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E1D"/>
    <w:rsid w:val="00907FA2"/>
    <w:rsid w:val="00910014"/>
    <w:rsid w:val="009105D7"/>
    <w:rsid w:val="0091088D"/>
    <w:rsid w:val="00910B5C"/>
    <w:rsid w:val="00910F06"/>
    <w:rsid w:val="00910FC9"/>
    <w:rsid w:val="00911062"/>
    <w:rsid w:val="00911206"/>
    <w:rsid w:val="00911327"/>
    <w:rsid w:val="009115E3"/>
    <w:rsid w:val="00911C40"/>
    <w:rsid w:val="00911F16"/>
    <w:rsid w:val="00911F8E"/>
    <w:rsid w:val="00911FB6"/>
    <w:rsid w:val="009120E6"/>
    <w:rsid w:val="009120ED"/>
    <w:rsid w:val="00912173"/>
    <w:rsid w:val="00912379"/>
    <w:rsid w:val="009123D2"/>
    <w:rsid w:val="009125C4"/>
    <w:rsid w:val="00912628"/>
    <w:rsid w:val="0091265F"/>
    <w:rsid w:val="009128F7"/>
    <w:rsid w:val="0091291A"/>
    <w:rsid w:val="0091294F"/>
    <w:rsid w:val="00912A78"/>
    <w:rsid w:val="00912FA3"/>
    <w:rsid w:val="00913013"/>
    <w:rsid w:val="009130CC"/>
    <w:rsid w:val="00913135"/>
    <w:rsid w:val="0091349A"/>
    <w:rsid w:val="00913612"/>
    <w:rsid w:val="0091366A"/>
    <w:rsid w:val="00913783"/>
    <w:rsid w:val="00913824"/>
    <w:rsid w:val="00913BDB"/>
    <w:rsid w:val="00914403"/>
    <w:rsid w:val="00914DC4"/>
    <w:rsid w:val="0091522E"/>
    <w:rsid w:val="009152B3"/>
    <w:rsid w:val="00915464"/>
    <w:rsid w:val="0091564D"/>
    <w:rsid w:val="00915757"/>
    <w:rsid w:val="009159B3"/>
    <w:rsid w:val="009159D2"/>
    <w:rsid w:val="00915AAD"/>
    <w:rsid w:val="00915AD2"/>
    <w:rsid w:val="00915DE7"/>
    <w:rsid w:val="0091609B"/>
    <w:rsid w:val="00916181"/>
    <w:rsid w:val="00916443"/>
    <w:rsid w:val="009168B5"/>
    <w:rsid w:val="00916ABD"/>
    <w:rsid w:val="00916BF8"/>
    <w:rsid w:val="00916D8C"/>
    <w:rsid w:val="009172AF"/>
    <w:rsid w:val="00917361"/>
    <w:rsid w:val="0091743E"/>
    <w:rsid w:val="009175E6"/>
    <w:rsid w:val="0091766B"/>
    <w:rsid w:val="009177FE"/>
    <w:rsid w:val="009179F5"/>
    <w:rsid w:val="00917A1D"/>
    <w:rsid w:val="00917A50"/>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814"/>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DEB"/>
    <w:rsid w:val="00922F74"/>
    <w:rsid w:val="00923016"/>
    <w:rsid w:val="009232BF"/>
    <w:rsid w:val="009232C9"/>
    <w:rsid w:val="00923608"/>
    <w:rsid w:val="00923682"/>
    <w:rsid w:val="009236BD"/>
    <w:rsid w:val="0092380E"/>
    <w:rsid w:val="009238E5"/>
    <w:rsid w:val="00923F12"/>
    <w:rsid w:val="0092407D"/>
    <w:rsid w:val="00924152"/>
    <w:rsid w:val="00924325"/>
    <w:rsid w:val="009243DC"/>
    <w:rsid w:val="00924471"/>
    <w:rsid w:val="009244F7"/>
    <w:rsid w:val="00924582"/>
    <w:rsid w:val="009247FD"/>
    <w:rsid w:val="009249F2"/>
    <w:rsid w:val="00924A48"/>
    <w:rsid w:val="00924BE8"/>
    <w:rsid w:val="00924C60"/>
    <w:rsid w:val="00924EE5"/>
    <w:rsid w:val="00924FF8"/>
    <w:rsid w:val="00925047"/>
    <w:rsid w:val="00925534"/>
    <w:rsid w:val="00925BA8"/>
    <w:rsid w:val="00925CDD"/>
    <w:rsid w:val="00925DBF"/>
    <w:rsid w:val="00925EA4"/>
    <w:rsid w:val="0092614D"/>
    <w:rsid w:val="0092618B"/>
    <w:rsid w:val="00926396"/>
    <w:rsid w:val="0092671D"/>
    <w:rsid w:val="00926BE4"/>
    <w:rsid w:val="00926D44"/>
    <w:rsid w:val="00926D9E"/>
    <w:rsid w:val="00926DA7"/>
    <w:rsid w:val="00926F93"/>
    <w:rsid w:val="00927153"/>
    <w:rsid w:val="0092739E"/>
    <w:rsid w:val="00927F12"/>
    <w:rsid w:val="00927F2E"/>
    <w:rsid w:val="00927F8B"/>
    <w:rsid w:val="009300C4"/>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FAA"/>
    <w:rsid w:val="00933167"/>
    <w:rsid w:val="0093316C"/>
    <w:rsid w:val="0093339D"/>
    <w:rsid w:val="009336EC"/>
    <w:rsid w:val="009337F6"/>
    <w:rsid w:val="009338F3"/>
    <w:rsid w:val="00933B18"/>
    <w:rsid w:val="00933C35"/>
    <w:rsid w:val="00933D04"/>
    <w:rsid w:val="00933E78"/>
    <w:rsid w:val="00933F56"/>
    <w:rsid w:val="00934056"/>
    <w:rsid w:val="0093417B"/>
    <w:rsid w:val="00934270"/>
    <w:rsid w:val="00934558"/>
    <w:rsid w:val="00934570"/>
    <w:rsid w:val="00934660"/>
    <w:rsid w:val="0093471B"/>
    <w:rsid w:val="00934770"/>
    <w:rsid w:val="009347FC"/>
    <w:rsid w:val="00934872"/>
    <w:rsid w:val="009348EF"/>
    <w:rsid w:val="00934A62"/>
    <w:rsid w:val="00934AF1"/>
    <w:rsid w:val="00934B89"/>
    <w:rsid w:val="00934C13"/>
    <w:rsid w:val="00934CD0"/>
    <w:rsid w:val="00935098"/>
    <w:rsid w:val="00935228"/>
    <w:rsid w:val="009354F4"/>
    <w:rsid w:val="009355A2"/>
    <w:rsid w:val="00935826"/>
    <w:rsid w:val="00935F33"/>
    <w:rsid w:val="00935F9E"/>
    <w:rsid w:val="00936149"/>
    <w:rsid w:val="009363D4"/>
    <w:rsid w:val="00936511"/>
    <w:rsid w:val="009365BA"/>
    <w:rsid w:val="009365D6"/>
    <w:rsid w:val="0093663A"/>
    <w:rsid w:val="009369C9"/>
    <w:rsid w:val="00936D98"/>
    <w:rsid w:val="00936E15"/>
    <w:rsid w:val="00937108"/>
    <w:rsid w:val="00937888"/>
    <w:rsid w:val="00937B26"/>
    <w:rsid w:val="00937D64"/>
    <w:rsid w:val="00937D74"/>
    <w:rsid w:val="00937ECE"/>
    <w:rsid w:val="00937F8D"/>
    <w:rsid w:val="0094015B"/>
    <w:rsid w:val="00940354"/>
    <w:rsid w:val="0094086A"/>
    <w:rsid w:val="00940A34"/>
    <w:rsid w:val="00941027"/>
    <w:rsid w:val="00941521"/>
    <w:rsid w:val="00941538"/>
    <w:rsid w:val="009416A4"/>
    <w:rsid w:val="00941784"/>
    <w:rsid w:val="00941890"/>
    <w:rsid w:val="0094198A"/>
    <w:rsid w:val="00941AE3"/>
    <w:rsid w:val="00941B88"/>
    <w:rsid w:val="00941BC8"/>
    <w:rsid w:val="00941E4C"/>
    <w:rsid w:val="009423C3"/>
    <w:rsid w:val="00942407"/>
    <w:rsid w:val="00942549"/>
    <w:rsid w:val="009427B7"/>
    <w:rsid w:val="00942938"/>
    <w:rsid w:val="00942C05"/>
    <w:rsid w:val="00942C80"/>
    <w:rsid w:val="00943197"/>
    <w:rsid w:val="009435F2"/>
    <w:rsid w:val="00943846"/>
    <w:rsid w:val="00943994"/>
    <w:rsid w:val="00943CDC"/>
    <w:rsid w:val="009442DA"/>
    <w:rsid w:val="00944461"/>
    <w:rsid w:val="00944604"/>
    <w:rsid w:val="00944AE9"/>
    <w:rsid w:val="00944CE6"/>
    <w:rsid w:val="00944E1C"/>
    <w:rsid w:val="00944F78"/>
    <w:rsid w:val="00944F7D"/>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31A"/>
    <w:rsid w:val="00946355"/>
    <w:rsid w:val="0094643C"/>
    <w:rsid w:val="0094670F"/>
    <w:rsid w:val="0094687B"/>
    <w:rsid w:val="009468B7"/>
    <w:rsid w:val="00946F6A"/>
    <w:rsid w:val="0094706F"/>
    <w:rsid w:val="009471FA"/>
    <w:rsid w:val="0094724E"/>
    <w:rsid w:val="0094750C"/>
    <w:rsid w:val="009475F8"/>
    <w:rsid w:val="0094767D"/>
    <w:rsid w:val="009477E3"/>
    <w:rsid w:val="00947973"/>
    <w:rsid w:val="0094798B"/>
    <w:rsid w:val="00947BE6"/>
    <w:rsid w:val="00947EAB"/>
    <w:rsid w:val="00947EC3"/>
    <w:rsid w:val="00947F12"/>
    <w:rsid w:val="009500AC"/>
    <w:rsid w:val="00950116"/>
    <w:rsid w:val="00950226"/>
    <w:rsid w:val="009502FB"/>
    <w:rsid w:val="0095048D"/>
    <w:rsid w:val="00950778"/>
    <w:rsid w:val="009507CD"/>
    <w:rsid w:val="00950934"/>
    <w:rsid w:val="00950A93"/>
    <w:rsid w:val="00950B37"/>
    <w:rsid w:val="00950B97"/>
    <w:rsid w:val="00950BBB"/>
    <w:rsid w:val="00950BC4"/>
    <w:rsid w:val="00950CA4"/>
    <w:rsid w:val="00950D98"/>
    <w:rsid w:val="00950EA0"/>
    <w:rsid w:val="00951014"/>
    <w:rsid w:val="0095123C"/>
    <w:rsid w:val="009515D3"/>
    <w:rsid w:val="0095183C"/>
    <w:rsid w:val="00951ADB"/>
    <w:rsid w:val="00951D80"/>
    <w:rsid w:val="0095205D"/>
    <w:rsid w:val="00952640"/>
    <w:rsid w:val="009529A4"/>
    <w:rsid w:val="009529D6"/>
    <w:rsid w:val="00952BB1"/>
    <w:rsid w:val="00952D1C"/>
    <w:rsid w:val="00952EAE"/>
    <w:rsid w:val="00953090"/>
    <w:rsid w:val="009533E7"/>
    <w:rsid w:val="0095348D"/>
    <w:rsid w:val="0095380C"/>
    <w:rsid w:val="00953896"/>
    <w:rsid w:val="009539EA"/>
    <w:rsid w:val="00953C56"/>
    <w:rsid w:val="00953DA2"/>
    <w:rsid w:val="00953FB8"/>
    <w:rsid w:val="00954353"/>
    <w:rsid w:val="009544B1"/>
    <w:rsid w:val="009546D4"/>
    <w:rsid w:val="00954706"/>
    <w:rsid w:val="009549A4"/>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046"/>
    <w:rsid w:val="0096023C"/>
    <w:rsid w:val="00960245"/>
    <w:rsid w:val="00960259"/>
    <w:rsid w:val="009605AE"/>
    <w:rsid w:val="0096078B"/>
    <w:rsid w:val="00960AC2"/>
    <w:rsid w:val="00960B29"/>
    <w:rsid w:val="00960BAD"/>
    <w:rsid w:val="00960CE2"/>
    <w:rsid w:val="00960E1A"/>
    <w:rsid w:val="009618FD"/>
    <w:rsid w:val="00961AEC"/>
    <w:rsid w:val="00961F3A"/>
    <w:rsid w:val="0096202A"/>
    <w:rsid w:val="0096205E"/>
    <w:rsid w:val="009620BC"/>
    <w:rsid w:val="009620C0"/>
    <w:rsid w:val="009623F2"/>
    <w:rsid w:val="0096281F"/>
    <w:rsid w:val="00962A2E"/>
    <w:rsid w:val="00962FFF"/>
    <w:rsid w:val="00963304"/>
    <w:rsid w:val="0096342F"/>
    <w:rsid w:val="009637CD"/>
    <w:rsid w:val="00963910"/>
    <w:rsid w:val="00963BD5"/>
    <w:rsid w:val="00963C34"/>
    <w:rsid w:val="00963F1D"/>
    <w:rsid w:val="009640AE"/>
    <w:rsid w:val="00964431"/>
    <w:rsid w:val="009646DD"/>
    <w:rsid w:val="00964A16"/>
    <w:rsid w:val="00964B41"/>
    <w:rsid w:val="00964CBC"/>
    <w:rsid w:val="00964CEA"/>
    <w:rsid w:val="00964D19"/>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625D"/>
    <w:rsid w:val="0096657D"/>
    <w:rsid w:val="009665E3"/>
    <w:rsid w:val="0096688A"/>
    <w:rsid w:val="00966C02"/>
    <w:rsid w:val="00966D0D"/>
    <w:rsid w:val="00966D49"/>
    <w:rsid w:val="00966EC9"/>
    <w:rsid w:val="009673CF"/>
    <w:rsid w:val="00967653"/>
    <w:rsid w:val="009678D0"/>
    <w:rsid w:val="00967915"/>
    <w:rsid w:val="00970100"/>
    <w:rsid w:val="0097011E"/>
    <w:rsid w:val="009701EA"/>
    <w:rsid w:val="0097023A"/>
    <w:rsid w:val="009702E5"/>
    <w:rsid w:val="0097058B"/>
    <w:rsid w:val="009709F8"/>
    <w:rsid w:val="00970D30"/>
    <w:rsid w:val="0097126D"/>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827"/>
    <w:rsid w:val="00973935"/>
    <w:rsid w:val="0097394C"/>
    <w:rsid w:val="009739BB"/>
    <w:rsid w:val="00973A86"/>
    <w:rsid w:val="00973AF8"/>
    <w:rsid w:val="00973D21"/>
    <w:rsid w:val="00973E99"/>
    <w:rsid w:val="009740FE"/>
    <w:rsid w:val="009742D3"/>
    <w:rsid w:val="00974653"/>
    <w:rsid w:val="0097484D"/>
    <w:rsid w:val="00974F12"/>
    <w:rsid w:val="009750D2"/>
    <w:rsid w:val="009751DA"/>
    <w:rsid w:val="00975492"/>
    <w:rsid w:val="009754CF"/>
    <w:rsid w:val="0097579D"/>
    <w:rsid w:val="00975B5C"/>
    <w:rsid w:val="00975E9D"/>
    <w:rsid w:val="009760FD"/>
    <w:rsid w:val="0097618A"/>
    <w:rsid w:val="009761D7"/>
    <w:rsid w:val="00976204"/>
    <w:rsid w:val="009766D3"/>
    <w:rsid w:val="009768D3"/>
    <w:rsid w:val="0097693D"/>
    <w:rsid w:val="00976EE5"/>
    <w:rsid w:val="009770EA"/>
    <w:rsid w:val="00977113"/>
    <w:rsid w:val="0097715E"/>
    <w:rsid w:val="009778A9"/>
    <w:rsid w:val="00977B4D"/>
    <w:rsid w:val="00977BA7"/>
    <w:rsid w:val="00977DB1"/>
    <w:rsid w:val="00977F0D"/>
    <w:rsid w:val="00977F77"/>
    <w:rsid w:val="009802C4"/>
    <w:rsid w:val="0098033B"/>
    <w:rsid w:val="00980442"/>
    <w:rsid w:val="00980517"/>
    <w:rsid w:val="00980CAB"/>
    <w:rsid w:val="00980D00"/>
    <w:rsid w:val="00980D0C"/>
    <w:rsid w:val="0098112B"/>
    <w:rsid w:val="00981257"/>
    <w:rsid w:val="0098194F"/>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412F"/>
    <w:rsid w:val="00984259"/>
    <w:rsid w:val="0098451B"/>
    <w:rsid w:val="00984C25"/>
    <w:rsid w:val="00984E05"/>
    <w:rsid w:val="00985182"/>
    <w:rsid w:val="00985388"/>
    <w:rsid w:val="0098549C"/>
    <w:rsid w:val="009857C2"/>
    <w:rsid w:val="00985841"/>
    <w:rsid w:val="00985BCC"/>
    <w:rsid w:val="00985E23"/>
    <w:rsid w:val="00985F28"/>
    <w:rsid w:val="00986087"/>
    <w:rsid w:val="009860B1"/>
    <w:rsid w:val="00986149"/>
    <w:rsid w:val="00986176"/>
    <w:rsid w:val="00986213"/>
    <w:rsid w:val="0098635D"/>
    <w:rsid w:val="0098640D"/>
    <w:rsid w:val="00986709"/>
    <w:rsid w:val="009867E3"/>
    <w:rsid w:val="00986870"/>
    <w:rsid w:val="00986A1F"/>
    <w:rsid w:val="00986C7A"/>
    <w:rsid w:val="00986DED"/>
    <w:rsid w:val="00986E7F"/>
    <w:rsid w:val="009870E4"/>
    <w:rsid w:val="00987160"/>
    <w:rsid w:val="00987536"/>
    <w:rsid w:val="009875CF"/>
    <w:rsid w:val="0098772D"/>
    <w:rsid w:val="00987945"/>
    <w:rsid w:val="00987A20"/>
    <w:rsid w:val="00987FEF"/>
    <w:rsid w:val="00990093"/>
    <w:rsid w:val="0099043D"/>
    <w:rsid w:val="00990464"/>
    <w:rsid w:val="0099083F"/>
    <w:rsid w:val="00990883"/>
    <w:rsid w:val="009908FB"/>
    <w:rsid w:val="00990BD5"/>
    <w:rsid w:val="009911F8"/>
    <w:rsid w:val="00991416"/>
    <w:rsid w:val="009914FC"/>
    <w:rsid w:val="009914FF"/>
    <w:rsid w:val="00991635"/>
    <w:rsid w:val="009916EB"/>
    <w:rsid w:val="00991707"/>
    <w:rsid w:val="009917C0"/>
    <w:rsid w:val="00991872"/>
    <w:rsid w:val="0099191F"/>
    <w:rsid w:val="0099196F"/>
    <w:rsid w:val="00992551"/>
    <w:rsid w:val="00992702"/>
    <w:rsid w:val="00992705"/>
    <w:rsid w:val="009927F9"/>
    <w:rsid w:val="00992B98"/>
    <w:rsid w:val="00992E02"/>
    <w:rsid w:val="00992FCE"/>
    <w:rsid w:val="009930B1"/>
    <w:rsid w:val="0099332F"/>
    <w:rsid w:val="0099340F"/>
    <w:rsid w:val="00993523"/>
    <w:rsid w:val="0099359F"/>
    <w:rsid w:val="00993611"/>
    <w:rsid w:val="009936DC"/>
    <w:rsid w:val="00993AEC"/>
    <w:rsid w:val="00993C4E"/>
    <w:rsid w:val="00993E44"/>
    <w:rsid w:val="00993E53"/>
    <w:rsid w:val="00994205"/>
    <w:rsid w:val="0099433E"/>
    <w:rsid w:val="009944D3"/>
    <w:rsid w:val="0099476C"/>
    <w:rsid w:val="00994871"/>
    <w:rsid w:val="00994B85"/>
    <w:rsid w:val="00994C41"/>
    <w:rsid w:val="00994D85"/>
    <w:rsid w:val="00994E08"/>
    <w:rsid w:val="009951F9"/>
    <w:rsid w:val="009953AA"/>
    <w:rsid w:val="0099542C"/>
    <w:rsid w:val="0099542E"/>
    <w:rsid w:val="00995470"/>
    <w:rsid w:val="00995984"/>
    <w:rsid w:val="00995BFC"/>
    <w:rsid w:val="00995C95"/>
    <w:rsid w:val="00995D1C"/>
    <w:rsid w:val="00995E56"/>
    <w:rsid w:val="00995E85"/>
    <w:rsid w:val="00995EA8"/>
    <w:rsid w:val="00996356"/>
    <w:rsid w:val="00996468"/>
    <w:rsid w:val="009967FB"/>
    <w:rsid w:val="00996876"/>
    <w:rsid w:val="0099690C"/>
    <w:rsid w:val="00996A19"/>
    <w:rsid w:val="00996A4A"/>
    <w:rsid w:val="00996ADC"/>
    <w:rsid w:val="00996BD8"/>
    <w:rsid w:val="00996D96"/>
    <w:rsid w:val="00996FFA"/>
    <w:rsid w:val="009970A5"/>
    <w:rsid w:val="009970B8"/>
    <w:rsid w:val="00997187"/>
    <w:rsid w:val="009973A6"/>
    <w:rsid w:val="009973F1"/>
    <w:rsid w:val="009973F3"/>
    <w:rsid w:val="009974F4"/>
    <w:rsid w:val="0099752D"/>
    <w:rsid w:val="00997982"/>
    <w:rsid w:val="00997D08"/>
    <w:rsid w:val="00997EB5"/>
    <w:rsid w:val="009A0081"/>
    <w:rsid w:val="009A010D"/>
    <w:rsid w:val="009A04FC"/>
    <w:rsid w:val="009A095D"/>
    <w:rsid w:val="009A0BF6"/>
    <w:rsid w:val="009A0C6F"/>
    <w:rsid w:val="009A1218"/>
    <w:rsid w:val="009A13E6"/>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3E67"/>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C08"/>
    <w:rsid w:val="009A6EC4"/>
    <w:rsid w:val="009A7025"/>
    <w:rsid w:val="009A7080"/>
    <w:rsid w:val="009A718C"/>
    <w:rsid w:val="009A74B4"/>
    <w:rsid w:val="009A74E6"/>
    <w:rsid w:val="009A760E"/>
    <w:rsid w:val="009A7B1E"/>
    <w:rsid w:val="009A7C45"/>
    <w:rsid w:val="009A7F6C"/>
    <w:rsid w:val="009B0154"/>
    <w:rsid w:val="009B02B6"/>
    <w:rsid w:val="009B030E"/>
    <w:rsid w:val="009B054F"/>
    <w:rsid w:val="009B0B16"/>
    <w:rsid w:val="009B0B5C"/>
    <w:rsid w:val="009B0BF5"/>
    <w:rsid w:val="009B0C72"/>
    <w:rsid w:val="009B0C99"/>
    <w:rsid w:val="009B0E9D"/>
    <w:rsid w:val="009B0FC0"/>
    <w:rsid w:val="009B1378"/>
    <w:rsid w:val="009B16FE"/>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3169"/>
    <w:rsid w:val="009B3269"/>
    <w:rsid w:val="009B3555"/>
    <w:rsid w:val="009B362F"/>
    <w:rsid w:val="009B37E2"/>
    <w:rsid w:val="009B38D4"/>
    <w:rsid w:val="009B3A0C"/>
    <w:rsid w:val="009B3A91"/>
    <w:rsid w:val="009B3B68"/>
    <w:rsid w:val="009B3C98"/>
    <w:rsid w:val="009B4048"/>
    <w:rsid w:val="009B43C4"/>
    <w:rsid w:val="009B4442"/>
    <w:rsid w:val="009B44B5"/>
    <w:rsid w:val="009B4519"/>
    <w:rsid w:val="009B47DE"/>
    <w:rsid w:val="009B4A67"/>
    <w:rsid w:val="009B4A6F"/>
    <w:rsid w:val="009B4CBC"/>
    <w:rsid w:val="009B4F0B"/>
    <w:rsid w:val="009B4F3D"/>
    <w:rsid w:val="009B5007"/>
    <w:rsid w:val="009B506A"/>
    <w:rsid w:val="009B506B"/>
    <w:rsid w:val="009B526F"/>
    <w:rsid w:val="009B57EF"/>
    <w:rsid w:val="009B5B85"/>
    <w:rsid w:val="009B5F9C"/>
    <w:rsid w:val="009B6040"/>
    <w:rsid w:val="009B6373"/>
    <w:rsid w:val="009B64AB"/>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39C"/>
    <w:rsid w:val="009C24F5"/>
    <w:rsid w:val="009C2685"/>
    <w:rsid w:val="009C26DD"/>
    <w:rsid w:val="009C2CB6"/>
    <w:rsid w:val="009C2D7F"/>
    <w:rsid w:val="009C3390"/>
    <w:rsid w:val="009C33CE"/>
    <w:rsid w:val="009C3401"/>
    <w:rsid w:val="009C3747"/>
    <w:rsid w:val="009C39BC"/>
    <w:rsid w:val="009C3C85"/>
    <w:rsid w:val="009C4114"/>
    <w:rsid w:val="009C41B3"/>
    <w:rsid w:val="009C4263"/>
    <w:rsid w:val="009C438A"/>
    <w:rsid w:val="009C47FC"/>
    <w:rsid w:val="009C4AA8"/>
    <w:rsid w:val="009C4AB9"/>
    <w:rsid w:val="009C4BC2"/>
    <w:rsid w:val="009C4CB7"/>
    <w:rsid w:val="009C4D22"/>
    <w:rsid w:val="009C5209"/>
    <w:rsid w:val="009C56D2"/>
    <w:rsid w:val="009C589D"/>
    <w:rsid w:val="009C58E2"/>
    <w:rsid w:val="009C5B9B"/>
    <w:rsid w:val="009C5C86"/>
    <w:rsid w:val="009C6084"/>
    <w:rsid w:val="009C62C8"/>
    <w:rsid w:val="009C650F"/>
    <w:rsid w:val="009C6543"/>
    <w:rsid w:val="009C6558"/>
    <w:rsid w:val="009C6BB9"/>
    <w:rsid w:val="009C6C78"/>
    <w:rsid w:val="009C6CE8"/>
    <w:rsid w:val="009C6CE9"/>
    <w:rsid w:val="009C714E"/>
    <w:rsid w:val="009C7320"/>
    <w:rsid w:val="009C737C"/>
    <w:rsid w:val="009C74D2"/>
    <w:rsid w:val="009C76B7"/>
    <w:rsid w:val="009C7890"/>
    <w:rsid w:val="009C7939"/>
    <w:rsid w:val="009C7BE4"/>
    <w:rsid w:val="009C7CC8"/>
    <w:rsid w:val="009C7E29"/>
    <w:rsid w:val="009D004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1D7A"/>
    <w:rsid w:val="009D203B"/>
    <w:rsid w:val="009D20C8"/>
    <w:rsid w:val="009D2162"/>
    <w:rsid w:val="009D217F"/>
    <w:rsid w:val="009D22E4"/>
    <w:rsid w:val="009D22F7"/>
    <w:rsid w:val="009D27A7"/>
    <w:rsid w:val="009D28D0"/>
    <w:rsid w:val="009D2A49"/>
    <w:rsid w:val="009D2C88"/>
    <w:rsid w:val="009D317F"/>
    <w:rsid w:val="009D319C"/>
    <w:rsid w:val="009D32E5"/>
    <w:rsid w:val="009D374C"/>
    <w:rsid w:val="009D3E9D"/>
    <w:rsid w:val="009D464D"/>
    <w:rsid w:val="009D47E5"/>
    <w:rsid w:val="009D4C16"/>
    <w:rsid w:val="009D4C6F"/>
    <w:rsid w:val="009D4E7C"/>
    <w:rsid w:val="009D4F2E"/>
    <w:rsid w:val="009D5119"/>
    <w:rsid w:val="009D51FA"/>
    <w:rsid w:val="009D5276"/>
    <w:rsid w:val="009D536F"/>
    <w:rsid w:val="009D5587"/>
    <w:rsid w:val="009D59D9"/>
    <w:rsid w:val="009D5A6F"/>
    <w:rsid w:val="009D5BAB"/>
    <w:rsid w:val="009D5D03"/>
    <w:rsid w:val="009D638A"/>
    <w:rsid w:val="009D677C"/>
    <w:rsid w:val="009D6780"/>
    <w:rsid w:val="009D6A0A"/>
    <w:rsid w:val="009D7001"/>
    <w:rsid w:val="009D70CF"/>
    <w:rsid w:val="009D717B"/>
    <w:rsid w:val="009D71A4"/>
    <w:rsid w:val="009D72E5"/>
    <w:rsid w:val="009D7645"/>
    <w:rsid w:val="009D76A0"/>
    <w:rsid w:val="009D7792"/>
    <w:rsid w:val="009D78EA"/>
    <w:rsid w:val="009D7B4D"/>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45F"/>
    <w:rsid w:val="009E1767"/>
    <w:rsid w:val="009E19A2"/>
    <w:rsid w:val="009E1C83"/>
    <w:rsid w:val="009E1D2E"/>
    <w:rsid w:val="009E1D3F"/>
    <w:rsid w:val="009E1D40"/>
    <w:rsid w:val="009E208C"/>
    <w:rsid w:val="009E211E"/>
    <w:rsid w:val="009E230B"/>
    <w:rsid w:val="009E2552"/>
    <w:rsid w:val="009E25A1"/>
    <w:rsid w:val="009E32CD"/>
    <w:rsid w:val="009E33BF"/>
    <w:rsid w:val="009E3481"/>
    <w:rsid w:val="009E3537"/>
    <w:rsid w:val="009E35A8"/>
    <w:rsid w:val="009E35C9"/>
    <w:rsid w:val="009E36B7"/>
    <w:rsid w:val="009E36C2"/>
    <w:rsid w:val="009E382F"/>
    <w:rsid w:val="009E3874"/>
    <w:rsid w:val="009E3AFD"/>
    <w:rsid w:val="009E3CDD"/>
    <w:rsid w:val="009E3E13"/>
    <w:rsid w:val="009E3EB5"/>
    <w:rsid w:val="009E3ED3"/>
    <w:rsid w:val="009E3FE5"/>
    <w:rsid w:val="009E41E0"/>
    <w:rsid w:val="009E47A8"/>
    <w:rsid w:val="009E483B"/>
    <w:rsid w:val="009E48FA"/>
    <w:rsid w:val="009E49E9"/>
    <w:rsid w:val="009E4B16"/>
    <w:rsid w:val="009E4CE2"/>
    <w:rsid w:val="009E500B"/>
    <w:rsid w:val="009E52AD"/>
    <w:rsid w:val="009E54C3"/>
    <w:rsid w:val="009E59F8"/>
    <w:rsid w:val="009E5BBA"/>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189"/>
    <w:rsid w:val="009E71AC"/>
    <w:rsid w:val="009E77E2"/>
    <w:rsid w:val="009E7905"/>
    <w:rsid w:val="009E79B1"/>
    <w:rsid w:val="009E7E46"/>
    <w:rsid w:val="009E7F03"/>
    <w:rsid w:val="009E7FC1"/>
    <w:rsid w:val="009F01E1"/>
    <w:rsid w:val="009F02C0"/>
    <w:rsid w:val="009F031E"/>
    <w:rsid w:val="009F0778"/>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67"/>
    <w:rsid w:val="009F18BE"/>
    <w:rsid w:val="009F1CD8"/>
    <w:rsid w:val="009F1F22"/>
    <w:rsid w:val="009F1FD9"/>
    <w:rsid w:val="009F2111"/>
    <w:rsid w:val="009F22E3"/>
    <w:rsid w:val="009F27AD"/>
    <w:rsid w:val="009F2B4F"/>
    <w:rsid w:val="009F2E48"/>
    <w:rsid w:val="009F30C1"/>
    <w:rsid w:val="009F310E"/>
    <w:rsid w:val="009F3AF7"/>
    <w:rsid w:val="009F3C72"/>
    <w:rsid w:val="009F3C74"/>
    <w:rsid w:val="009F3D04"/>
    <w:rsid w:val="009F3FB5"/>
    <w:rsid w:val="009F4260"/>
    <w:rsid w:val="009F45AA"/>
    <w:rsid w:val="009F47B7"/>
    <w:rsid w:val="009F4F25"/>
    <w:rsid w:val="009F51AC"/>
    <w:rsid w:val="009F521F"/>
    <w:rsid w:val="009F52A0"/>
    <w:rsid w:val="009F553C"/>
    <w:rsid w:val="009F55B9"/>
    <w:rsid w:val="009F59F8"/>
    <w:rsid w:val="009F5C52"/>
    <w:rsid w:val="009F5CAB"/>
    <w:rsid w:val="009F5CB8"/>
    <w:rsid w:val="009F5CD1"/>
    <w:rsid w:val="009F5F3E"/>
    <w:rsid w:val="009F639C"/>
    <w:rsid w:val="009F6771"/>
    <w:rsid w:val="009F67C6"/>
    <w:rsid w:val="009F6850"/>
    <w:rsid w:val="009F6AEC"/>
    <w:rsid w:val="009F6C31"/>
    <w:rsid w:val="009F7292"/>
    <w:rsid w:val="009F753C"/>
    <w:rsid w:val="009F75B8"/>
    <w:rsid w:val="009F75CA"/>
    <w:rsid w:val="009F78BB"/>
    <w:rsid w:val="009F7D38"/>
    <w:rsid w:val="009F7D8F"/>
    <w:rsid w:val="00A001C7"/>
    <w:rsid w:val="00A00275"/>
    <w:rsid w:val="00A0028B"/>
    <w:rsid w:val="00A003C8"/>
    <w:rsid w:val="00A0048D"/>
    <w:rsid w:val="00A0050D"/>
    <w:rsid w:val="00A005B0"/>
    <w:rsid w:val="00A00C5E"/>
    <w:rsid w:val="00A00FDD"/>
    <w:rsid w:val="00A011A9"/>
    <w:rsid w:val="00A011FB"/>
    <w:rsid w:val="00A01302"/>
    <w:rsid w:val="00A014D6"/>
    <w:rsid w:val="00A0169B"/>
    <w:rsid w:val="00A01F17"/>
    <w:rsid w:val="00A0208C"/>
    <w:rsid w:val="00A022A5"/>
    <w:rsid w:val="00A0292A"/>
    <w:rsid w:val="00A02955"/>
    <w:rsid w:val="00A02A17"/>
    <w:rsid w:val="00A02AC5"/>
    <w:rsid w:val="00A02CD4"/>
    <w:rsid w:val="00A03093"/>
    <w:rsid w:val="00A031D3"/>
    <w:rsid w:val="00A03233"/>
    <w:rsid w:val="00A03383"/>
    <w:rsid w:val="00A034B0"/>
    <w:rsid w:val="00A03531"/>
    <w:rsid w:val="00A03564"/>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DC1"/>
    <w:rsid w:val="00A06DFA"/>
    <w:rsid w:val="00A07898"/>
    <w:rsid w:val="00A07A48"/>
    <w:rsid w:val="00A07B63"/>
    <w:rsid w:val="00A1047B"/>
    <w:rsid w:val="00A104C5"/>
    <w:rsid w:val="00A10583"/>
    <w:rsid w:val="00A10737"/>
    <w:rsid w:val="00A108EE"/>
    <w:rsid w:val="00A109AE"/>
    <w:rsid w:val="00A109D2"/>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A48"/>
    <w:rsid w:val="00A14B03"/>
    <w:rsid w:val="00A14F5D"/>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6BB"/>
    <w:rsid w:val="00A21A36"/>
    <w:rsid w:val="00A21A55"/>
    <w:rsid w:val="00A21A9A"/>
    <w:rsid w:val="00A21B72"/>
    <w:rsid w:val="00A21EB7"/>
    <w:rsid w:val="00A2211D"/>
    <w:rsid w:val="00A22353"/>
    <w:rsid w:val="00A22554"/>
    <w:rsid w:val="00A225B8"/>
    <w:rsid w:val="00A2274E"/>
    <w:rsid w:val="00A227AA"/>
    <w:rsid w:val="00A22A27"/>
    <w:rsid w:val="00A22C23"/>
    <w:rsid w:val="00A22E09"/>
    <w:rsid w:val="00A22E18"/>
    <w:rsid w:val="00A22EC1"/>
    <w:rsid w:val="00A22FDE"/>
    <w:rsid w:val="00A2300A"/>
    <w:rsid w:val="00A23A99"/>
    <w:rsid w:val="00A23DE3"/>
    <w:rsid w:val="00A2428A"/>
    <w:rsid w:val="00A24566"/>
    <w:rsid w:val="00A24630"/>
    <w:rsid w:val="00A247E6"/>
    <w:rsid w:val="00A2488E"/>
    <w:rsid w:val="00A24A2C"/>
    <w:rsid w:val="00A24ABC"/>
    <w:rsid w:val="00A24AD8"/>
    <w:rsid w:val="00A24B03"/>
    <w:rsid w:val="00A24CC6"/>
    <w:rsid w:val="00A25083"/>
    <w:rsid w:val="00A25292"/>
    <w:rsid w:val="00A25294"/>
    <w:rsid w:val="00A254EE"/>
    <w:rsid w:val="00A2573D"/>
    <w:rsid w:val="00A25970"/>
    <w:rsid w:val="00A25A53"/>
    <w:rsid w:val="00A25BE7"/>
    <w:rsid w:val="00A25C65"/>
    <w:rsid w:val="00A25FB4"/>
    <w:rsid w:val="00A2616E"/>
    <w:rsid w:val="00A261BD"/>
    <w:rsid w:val="00A26415"/>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B8A"/>
    <w:rsid w:val="00A330CA"/>
    <w:rsid w:val="00A33172"/>
    <w:rsid w:val="00A331F0"/>
    <w:rsid w:val="00A33549"/>
    <w:rsid w:val="00A335AE"/>
    <w:rsid w:val="00A33B15"/>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A29"/>
    <w:rsid w:val="00A35B6E"/>
    <w:rsid w:val="00A35BD3"/>
    <w:rsid w:val="00A35C3A"/>
    <w:rsid w:val="00A35D34"/>
    <w:rsid w:val="00A35EAD"/>
    <w:rsid w:val="00A3611D"/>
    <w:rsid w:val="00A361DD"/>
    <w:rsid w:val="00A36300"/>
    <w:rsid w:val="00A36315"/>
    <w:rsid w:val="00A36339"/>
    <w:rsid w:val="00A3651D"/>
    <w:rsid w:val="00A365F1"/>
    <w:rsid w:val="00A366E4"/>
    <w:rsid w:val="00A3670E"/>
    <w:rsid w:val="00A36880"/>
    <w:rsid w:val="00A368B5"/>
    <w:rsid w:val="00A36976"/>
    <w:rsid w:val="00A36DB1"/>
    <w:rsid w:val="00A37182"/>
    <w:rsid w:val="00A3719B"/>
    <w:rsid w:val="00A37228"/>
    <w:rsid w:val="00A37A5F"/>
    <w:rsid w:val="00A37FF2"/>
    <w:rsid w:val="00A40359"/>
    <w:rsid w:val="00A40429"/>
    <w:rsid w:val="00A40476"/>
    <w:rsid w:val="00A404A6"/>
    <w:rsid w:val="00A4084F"/>
    <w:rsid w:val="00A4092F"/>
    <w:rsid w:val="00A40A5A"/>
    <w:rsid w:val="00A40C63"/>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A4F"/>
    <w:rsid w:val="00A44B85"/>
    <w:rsid w:val="00A44BB5"/>
    <w:rsid w:val="00A44F1F"/>
    <w:rsid w:val="00A4512B"/>
    <w:rsid w:val="00A4537D"/>
    <w:rsid w:val="00A45422"/>
    <w:rsid w:val="00A4549F"/>
    <w:rsid w:val="00A45510"/>
    <w:rsid w:val="00A45536"/>
    <w:rsid w:val="00A45883"/>
    <w:rsid w:val="00A45930"/>
    <w:rsid w:val="00A459DD"/>
    <w:rsid w:val="00A45B9B"/>
    <w:rsid w:val="00A45FB5"/>
    <w:rsid w:val="00A45FD3"/>
    <w:rsid w:val="00A46055"/>
    <w:rsid w:val="00A46121"/>
    <w:rsid w:val="00A4615A"/>
    <w:rsid w:val="00A462FE"/>
    <w:rsid w:val="00A46336"/>
    <w:rsid w:val="00A4636A"/>
    <w:rsid w:val="00A46411"/>
    <w:rsid w:val="00A46462"/>
    <w:rsid w:val="00A464D2"/>
    <w:rsid w:val="00A46A11"/>
    <w:rsid w:val="00A46C3D"/>
    <w:rsid w:val="00A471F9"/>
    <w:rsid w:val="00A47562"/>
    <w:rsid w:val="00A47838"/>
    <w:rsid w:val="00A479A5"/>
    <w:rsid w:val="00A47B1E"/>
    <w:rsid w:val="00A47CE5"/>
    <w:rsid w:val="00A501C9"/>
    <w:rsid w:val="00A502AB"/>
    <w:rsid w:val="00A50364"/>
    <w:rsid w:val="00A50506"/>
    <w:rsid w:val="00A50551"/>
    <w:rsid w:val="00A50745"/>
    <w:rsid w:val="00A5079F"/>
    <w:rsid w:val="00A5090F"/>
    <w:rsid w:val="00A50987"/>
    <w:rsid w:val="00A50C40"/>
    <w:rsid w:val="00A50DF5"/>
    <w:rsid w:val="00A50E91"/>
    <w:rsid w:val="00A5144A"/>
    <w:rsid w:val="00A5150B"/>
    <w:rsid w:val="00A51632"/>
    <w:rsid w:val="00A5190D"/>
    <w:rsid w:val="00A5195B"/>
    <w:rsid w:val="00A51C4B"/>
    <w:rsid w:val="00A51E33"/>
    <w:rsid w:val="00A51E55"/>
    <w:rsid w:val="00A51E6C"/>
    <w:rsid w:val="00A5215D"/>
    <w:rsid w:val="00A521B7"/>
    <w:rsid w:val="00A525A5"/>
    <w:rsid w:val="00A525D8"/>
    <w:rsid w:val="00A5275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4D93"/>
    <w:rsid w:val="00A553AF"/>
    <w:rsid w:val="00A5542C"/>
    <w:rsid w:val="00A555A6"/>
    <w:rsid w:val="00A5594E"/>
    <w:rsid w:val="00A55952"/>
    <w:rsid w:val="00A5598B"/>
    <w:rsid w:val="00A55D74"/>
    <w:rsid w:val="00A55EC2"/>
    <w:rsid w:val="00A56156"/>
    <w:rsid w:val="00A56170"/>
    <w:rsid w:val="00A567C4"/>
    <w:rsid w:val="00A56815"/>
    <w:rsid w:val="00A569D4"/>
    <w:rsid w:val="00A56A58"/>
    <w:rsid w:val="00A56BB4"/>
    <w:rsid w:val="00A56BE4"/>
    <w:rsid w:val="00A56D31"/>
    <w:rsid w:val="00A56F32"/>
    <w:rsid w:val="00A57197"/>
    <w:rsid w:val="00A57757"/>
    <w:rsid w:val="00A577B5"/>
    <w:rsid w:val="00A577DA"/>
    <w:rsid w:val="00A5792C"/>
    <w:rsid w:val="00A57B69"/>
    <w:rsid w:val="00A57BF8"/>
    <w:rsid w:val="00A57C45"/>
    <w:rsid w:val="00A57E4A"/>
    <w:rsid w:val="00A57E4F"/>
    <w:rsid w:val="00A57EE0"/>
    <w:rsid w:val="00A57F1A"/>
    <w:rsid w:val="00A57FEC"/>
    <w:rsid w:val="00A60163"/>
    <w:rsid w:val="00A6038D"/>
    <w:rsid w:val="00A603F6"/>
    <w:rsid w:val="00A6061B"/>
    <w:rsid w:val="00A60739"/>
    <w:rsid w:val="00A60A06"/>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181"/>
    <w:rsid w:val="00A642CD"/>
    <w:rsid w:val="00A64462"/>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92B"/>
    <w:rsid w:val="00A66FC4"/>
    <w:rsid w:val="00A672F0"/>
    <w:rsid w:val="00A673A5"/>
    <w:rsid w:val="00A6749F"/>
    <w:rsid w:val="00A67544"/>
    <w:rsid w:val="00A676AB"/>
    <w:rsid w:val="00A679BA"/>
    <w:rsid w:val="00A67BA1"/>
    <w:rsid w:val="00A67D29"/>
    <w:rsid w:val="00A67F65"/>
    <w:rsid w:val="00A70009"/>
    <w:rsid w:val="00A70161"/>
    <w:rsid w:val="00A7028F"/>
    <w:rsid w:val="00A706D7"/>
    <w:rsid w:val="00A7075B"/>
    <w:rsid w:val="00A709E7"/>
    <w:rsid w:val="00A70A9D"/>
    <w:rsid w:val="00A7118F"/>
    <w:rsid w:val="00A71555"/>
    <w:rsid w:val="00A71578"/>
    <w:rsid w:val="00A717CE"/>
    <w:rsid w:val="00A71CE6"/>
    <w:rsid w:val="00A71D23"/>
    <w:rsid w:val="00A71E8B"/>
    <w:rsid w:val="00A7205D"/>
    <w:rsid w:val="00A72207"/>
    <w:rsid w:val="00A72366"/>
    <w:rsid w:val="00A72399"/>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F34"/>
    <w:rsid w:val="00A74FD6"/>
    <w:rsid w:val="00A74FDF"/>
    <w:rsid w:val="00A7507E"/>
    <w:rsid w:val="00A751CB"/>
    <w:rsid w:val="00A751CC"/>
    <w:rsid w:val="00A75572"/>
    <w:rsid w:val="00A75660"/>
    <w:rsid w:val="00A757FB"/>
    <w:rsid w:val="00A75806"/>
    <w:rsid w:val="00A7598E"/>
    <w:rsid w:val="00A75A43"/>
    <w:rsid w:val="00A75A88"/>
    <w:rsid w:val="00A75B27"/>
    <w:rsid w:val="00A75B2F"/>
    <w:rsid w:val="00A75B43"/>
    <w:rsid w:val="00A75C40"/>
    <w:rsid w:val="00A75CC1"/>
    <w:rsid w:val="00A75E88"/>
    <w:rsid w:val="00A761CA"/>
    <w:rsid w:val="00A761FD"/>
    <w:rsid w:val="00A7681C"/>
    <w:rsid w:val="00A77017"/>
    <w:rsid w:val="00A7708A"/>
    <w:rsid w:val="00A77275"/>
    <w:rsid w:val="00A7791C"/>
    <w:rsid w:val="00A77A5A"/>
    <w:rsid w:val="00A77A86"/>
    <w:rsid w:val="00A77C23"/>
    <w:rsid w:val="00A77CDE"/>
    <w:rsid w:val="00A80098"/>
    <w:rsid w:val="00A8013C"/>
    <w:rsid w:val="00A802AC"/>
    <w:rsid w:val="00A80347"/>
    <w:rsid w:val="00A8048E"/>
    <w:rsid w:val="00A8056E"/>
    <w:rsid w:val="00A80602"/>
    <w:rsid w:val="00A8067D"/>
    <w:rsid w:val="00A808DC"/>
    <w:rsid w:val="00A80926"/>
    <w:rsid w:val="00A8094B"/>
    <w:rsid w:val="00A8097B"/>
    <w:rsid w:val="00A80AEF"/>
    <w:rsid w:val="00A8117C"/>
    <w:rsid w:val="00A8124C"/>
    <w:rsid w:val="00A81615"/>
    <w:rsid w:val="00A81844"/>
    <w:rsid w:val="00A81907"/>
    <w:rsid w:val="00A81AE6"/>
    <w:rsid w:val="00A81BF3"/>
    <w:rsid w:val="00A81F55"/>
    <w:rsid w:val="00A82174"/>
    <w:rsid w:val="00A82282"/>
    <w:rsid w:val="00A82286"/>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CA"/>
    <w:rsid w:val="00A84020"/>
    <w:rsid w:val="00A841AC"/>
    <w:rsid w:val="00A842A6"/>
    <w:rsid w:val="00A8443A"/>
    <w:rsid w:val="00A84457"/>
    <w:rsid w:val="00A844B3"/>
    <w:rsid w:val="00A84650"/>
    <w:rsid w:val="00A8479C"/>
    <w:rsid w:val="00A84905"/>
    <w:rsid w:val="00A84CEA"/>
    <w:rsid w:val="00A8557B"/>
    <w:rsid w:val="00A8561F"/>
    <w:rsid w:val="00A8581B"/>
    <w:rsid w:val="00A85A05"/>
    <w:rsid w:val="00A86257"/>
    <w:rsid w:val="00A86281"/>
    <w:rsid w:val="00A86371"/>
    <w:rsid w:val="00A867EC"/>
    <w:rsid w:val="00A86885"/>
    <w:rsid w:val="00A86C4B"/>
    <w:rsid w:val="00A86D43"/>
    <w:rsid w:val="00A86D63"/>
    <w:rsid w:val="00A86E3C"/>
    <w:rsid w:val="00A86FDB"/>
    <w:rsid w:val="00A87000"/>
    <w:rsid w:val="00A870BE"/>
    <w:rsid w:val="00A870D5"/>
    <w:rsid w:val="00A871F6"/>
    <w:rsid w:val="00A873F0"/>
    <w:rsid w:val="00A87642"/>
    <w:rsid w:val="00A87721"/>
    <w:rsid w:val="00A87797"/>
    <w:rsid w:val="00A877AE"/>
    <w:rsid w:val="00A87C81"/>
    <w:rsid w:val="00A87C9A"/>
    <w:rsid w:val="00A87E23"/>
    <w:rsid w:val="00A87E51"/>
    <w:rsid w:val="00A87F46"/>
    <w:rsid w:val="00A90163"/>
    <w:rsid w:val="00A9064A"/>
    <w:rsid w:val="00A90A6A"/>
    <w:rsid w:val="00A90CB5"/>
    <w:rsid w:val="00A90CE3"/>
    <w:rsid w:val="00A90E72"/>
    <w:rsid w:val="00A90EE4"/>
    <w:rsid w:val="00A90F17"/>
    <w:rsid w:val="00A9127C"/>
    <w:rsid w:val="00A9163B"/>
    <w:rsid w:val="00A9181C"/>
    <w:rsid w:val="00A91828"/>
    <w:rsid w:val="00A91936"/>
    <w:rsid w:val="00A91C0E"/>
    <w:rsid w:val="00A91D8B"/>
    <w:rsid w:val="00A91E5A"/>
    <w:rsid w:val="00A92124"/>
    <w:rsid w:val="00A9215C"/>
    <w:rsid w:val="00A9220D"/>
    <w:rsid w:val="00A922A2"/>
    <w:rsid w:val="00A923CA"/>
    <w:rsid w:val="00A925FD"/>
    <w:rsid w:val="00A92742"/>
    <w:rsid w:val="00A92AC1"/>
    <w:rsid w:val="00A92C54"/>
    <w:rsid w:val="00A92CF8"/>
    <w:rsid w:val="00A92F9E"/>
    <w:rsid w:val="00A93159"/>
    <w:rsid w:val="00A9327B"/>
    <w:rsid w:val="00A9339A"/>
    <w:rsid w:val="00A9355E"/>
    <w:rsid w:val="00A937A8"/>
    <w:rsid w:val="00A938E5"/>
    <w:rsid w:val="00A93B69"/>
    <w:rsid w:val="00A93C2B"/>
    <w:rsid w:val="00A93FA2"/>
    <w:rsid w:val="00A94275"/>
    <w:rsid w:val="00A94379"/>
    <w:rsid w:val="00A94667"/>
    <w:rsid w:val="00A9468D"/>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A4D"/>
    <w:rsid w:val="00A95CFB"/>
    <w:rsid w:val="00A95EB8"/>
    <w:rsid w:val="00A95FC8"/>
    <w:rsid w:val="00A963C7"/>
    <w:rsid w:val="00A96746"/>
    <w:rsid w:val="00A96B2D"/>
    <w:rsid w:val="00A96CC3"/>
    <w:rsid w:val="00A97087"/>
    <w:rsid w:val="00A972C0"/>
    <w:rsid w:val="00A97432"/>
    <w:rsid w:val="00A974B6"/>
    <w:rsid w:val="00A97559"/>
    <w:rsid w:val="00A97BC1"/>
    <w:rsid w:val="00A97CBA"/>
    <w:rsid w:val="00A97E08"/>
    <w:rsid w:val="00AA0001"/>
    <w:rsid w:val="00AA0353"/>
    <w:rsid w:val="00AA0726"/>
    <w:rsid w:val="00AA086F"/>
    <w:rsid w:val="00AA0F0B"/>
    <w:rsid w:val="00AA1252"/>
    <w:rsid w:val="00AA12B6"/>
    <w:rsid w:val="00AA1460"/>
    <w:rsid w:val="00AA1626"/>
    <w:rsid w:val="00AA1716"/>
    <w:rsid w:val="00AA1C25"/>
    <w:rsid w:val="00AA1E08"/>
    <w:rsid w:val="00AA1E4C"/>
    <w:rsid w:val="00AA2344"/>
    <w:rsid w:val="00AA273A"/>
    <w:rsid w:val="00AA2946"/>
    <w:rsid w:val="00AA29EF"/>
    <w:rsid w:val="00AA2A16"/>
    <w:rsid w:val="00AA2A42"/>
    <w:rsid w:val="00AA339C"/>
    <w:rsid w:val="00AA34DA"/>
    <w:rsid w:val="00AA350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863"/>
    <w:rsid w:val="00AA5989"/>
    <w:rsid w:val="00AA5B3C"/>
    <w:rsid w:val="00AA5C60"/>
    <w:rsid w:val="00AA5D5A"/>
    <w:rsid w:val="00AA5E0A"/>
    <w:rsid w:val="00AA5E3B"/>
    <w:rsid w:val="00AA5E8C"/>
    <w:rsid w:val="00AA5ED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C4"/>
    <w:rsid w:val="00AB002C"/>
    <w:rsid w:val="00AB04DC"/>
    <w:rsid w:val="00AB0543"/>
    <w:rsid w:val="00AB0598"/>
    <w:rsid w:val="00AB0717"/>
    <w:rsid w:val="00AB08F9"/>
    <w:rsid w:val="00AB09AD"/>
    <w:rsid w:val="00AB09FA"/>
    <w:rsid w:val="00AB0A1A"/>
    <w:rsid w:val="00AB0AC9"/>
    <w:rsid w:val="00AB101C"/>
    <w:rsid w:val="00AB1581"/>
    <w:rsid w:val="00AB185A"/>
    <w:rsid w:val="00AB1BA7"/>
    <w:rsid w:val="00AB1E04"/>
    <w:rsid w:val="00AB2073"/>
    <w:rsid w:val="00AB2685"/>
    <w:rsid w:val="00AB26FF"/>
    <w:rsid w:val="00AB27C4"/>
    <w:rsid w:val="00AB29CF"/>
    <w:rsid w:val="00AB2C02"/>
    <w:rsid w:val="00AB2C8B"/>
    <w:rsid w:val="00AB2E81"/>
    <w:rsid w:val="00AB3103"/>
    <w:rsid w:val="00AB3113"/>
    <w:rsid w:val="00AB3317"/>
    <w:rsid w:val="00AB343E"/>
    <w:rsid w:val="00AB348A"/>
    <w:rsid w:val="00AB36DE"/>
    <w:rsid w:val="00AB370E"/>
    <w:rsid w:val="00AB3819"/>
    <w:rsid w:val="00AB39A9"/>
    <w:rsid w:val="00AB3DB0"/>
    <w:rsid w:val="00AB3E39"/>
    <w:rsid w:val="00AB3F38"/>
    <w:rsid w:val="00AB43EC"/>
    <w:rsid w:val="00AB4410"/>
    <w:rsid w:val="00AB4B40"/>
    <w:rsid w:val="00AB4BF4"/>
    <w:rsid w:val="00AB4F48"/>
    <w:rsid w:val="00AB53A9"/>
    <w:rsid w:val="00AB55BB"/>
    <w:rsid w:val="00AB56BE"/>
    <w:rsid w:val="00AB586B"/>
    <w:rsid w:val="00AB58A1"/>
    <w:rsid w:val="00AB59B3"/>
    <w:rsid w:val="00AB5ADF"/>
    <w:rsid w:val="00AB5AF3"/>
    <w:rsid w:val="00AB5B7E"/>
    <w:rsid w:val="00AB5E57"/>
    <w:rsid w:val="00AB5EAC"/>
    <w:rsid w:val="00AB6116"/>
    <w:rsid w:val="00AB6337"/>
    <w:rsid w:val="00AB706F"/>
    <w:rsid w:val="00AB70E1"/>
    <w:rsid w:val="00AB71E6"/>
    <w:rsid w:val="00AB71EF"/>
    <w:rsid w:val="00AB724A"/>
    <w:rsid w:val="00AB725F"/>
    <w:rsid w:val="00AB7429"/>
    <w:rsid w:val="00AB7524"/>
    <w:rsid w:val="00AB75E9"/>
    <w:rsid w:val="00AB76AB"/>
    <w:rsid w:val="00AB7803"/>
    <w:rsid w:val="00AB7B86"/>
    <w:rsid w:val="00AC01FA"/>
    <w:rsid w:val="00AC0254"/>
    <w:rsid w:val="00AC029B"/>
    <w:rsid w:val="00AC0705"/>
    <w:rsid w:val="00AC08D3"/>
    <w:rsid w:val="00AC0970"/>
    <w:rsid w:val="00AC09F8"/>
    <w:rsid w:val="00AC0AD8"/>
    <w:rsid w:val="00AC0B26"/>
    <w:rsid w:val="00AC0E15"/>
    <w:rsid w:val="00AC0EE6"/>
    <w:rsid w:val="00AC109B"/>
    <w:rsid w:val="00AC1250"/>
    <w:rsid w:val="00AC18AF"/>
    <w:rsid w:val="00AC1C37"/>
    <w:rsid w:val="00AC2480"/>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26"/>
    <w:rsid w:val="00AC5D97"/>
    <w:rsid w:val="00AC5EC7"/>
    <w:rsid w:val="00AC651B"/>
    <w:rsid w:val="00AC6526"/>
    <w:rsid w:val="00AC67DA"/>
    <w:rsid w:val="00AC68B6"/>
    <w:rsid w:val="00AC69E5"/>
    <w:rsid w:val="00AC6EDB"/>
    <w:rsid w:val="00AC74DA"/>
    <w:rsid w:val="00AC79CB"/>
    <w:rsid w:val="00AC7A2B"/>
    <w:rsid w:val="00AC7AAF"/>
    <w:rsid w:val="00AC7B5B"/>
    <w:rsid w:val="00AC7BE9"/>
    <w:rsid w:val="00AC7C25"/>
    <w:rsid w:val="00AC7C77"/>
    <w:rsid w:val="00AC7E79"/>
    <w:rsid w:val="00AD0046"/>
    <w:rsid w:val="00AD0234"/>
    <w:rsid w:val="00AD0741"/>
    <w:rsid w:val="00AD0831"/>
    <w:rsid w:val="00AD0A51"/>
    <w:rsid w:val="00AD0AE2"/>
    <w:rsid w:val="00AD0B37"/>
    <w:rsid w:val="00AD0E6C"/>
    <w:rsid w:val="00AD0EC5"/>
    <w:rsid w:val="00AD0FD0"/>
    <w:rsid w:val="00AD101C"/>
    <w:rsid w:val="00AD11CE"/>
    <w:rsid w:val="00AD11F7"/>
    <w:rsid w:val="00AD126C"/>
    <w:rsid w:val="00AD150F"/>
    <w:rsid w:val="00AD1592"/>
    <w:rsid w:val="00AD1644"/>
    <w:rsid w:val="00AD16B9"/>
    <w:rsid w:val="00AD1976"/>
    <w:rsid w:val="00AD1B21"/>
    <w:rsid w:val="00AD1BCB"/>
    <w:rsid w:val="00AD1C61"/>
    <w:rsid w:val="00AD1CAD"/>
    <w:rsid w:val="00AD1D2C"/>
    <w:rsid w:val="00AD1DB7"/>
    <w:rsid w:val="00AD1E0C"/>
    <w:rsid w:val="00AD1E8B"/>
    <w:rsid w:val="00AD1FE2"/>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36F"/>
    <w:rsid w:val="00AD4856"/>
    <w:rsid w:val="00AD48CB"/>
    <w:rsid w:val="00AD490F"/>
    <w:rsid w:val="00AD4C07"/>
    <w:rsid w:val="00AD4D2A"/>
    <w:rsid w:val="00AD522E"/>
    <w:rsid w:val="00AD542F"/>
    <w:rsid w:val="00AD5441"/>
    <w:rsid w:val="00AD59AB"/>
    <w:rsid w:val="00AD59E3"/>
    <w:rsid w:val="00AD5B94"/>
    <w:rsid w:val="00AD5BD9"/>
    <w:rsid w:val="00AD5F12"/>
    <w:rsid w:val="00AD608B"/>
    <w:rsid w:val="00AD636D"/>
    <w:rsid w:val="00AD6393"/>
    <w:rsid w:val="00AD6470"/>
    <w:rsid w:val="00AD653B"/>
    <w:rsid w:val="00AD6C7F"/>
    <w:rsid w:val="00AD70A8"/>
    <w:rsid w:val="00AD7305"/>
    <w:rsid w:val="00AD75B8"/>
    <w:rsid w:val="00AD7A07"/>
    <w:rsid w:val="00AD7C49"/>
    <w:rsid w:val="00AD7E64"/>
    <w:rsid w:val="00AE04AA"/>
    <w:rsid w:val="00AE0719"/>
    <w:rsid w:val="00AE08B9"/>
    <w:rsid w:val="00AE08CF"/>
    <w:rsid w:val="00AE0C56"/>
    <w:rsid w:val="00AE0C88"/>
    <w:rsid w:val="00AE149E"/>
    <w:rsid w:val="00AE17FA"/>
    <w:rsid w:val="00AE1856"/>
    <w:rsid w:val="00AE1957"/>
    <w:rsid w:val="00AE1988"/>
    <w:rsid w:val="00AE19B6"/>
    <w:rsid w:val="00AE1A2E"/>
    <w:rsid w:val="00AE1C8A"/>
    <w:rsid w:val="00AE1FC7"/>
    <w:rsid w:val="00AE20B1"/>
    <w:rsid w:val="00AE22F2"/>
    <w:rsid w:val="00AE26D8"/>
    <w:rsid w:val="00AE28EB"/>
    <w:rsid w:val="00AE29B9"/>
    <w:rsid w:val="00AE29FC"/>
    <w:rsid w:val="00AE2D7B"/>
    <w:rsid w:val="00AE2E10"/>
    <w:rsid w:val="00AE2E39"/>
    <w:rsid w:val="00AE2F32"/>
    <w:rsid w:val="00AE2F3F"/>
    <w:rsid w:val="00AE30A1"/>
    <w:rsid w:val="00AE31DB"/>
    <w:rsid w:val="00AE3209"/>
    <w:rsid w:val="00AE3A82"/>
    <w:rsid w:val="00AE3B4E"/>
    <w:rsid w:val="00AE3CFB"/>
    <w:rsid w:val="00AE4091"/>
    <w:rsid w:val="00AE4210"/>
    <w:rsid w:val="00AE4322"/>
    <w:rsid w:val="00AE4872"/>
    <w:rsid w:val="00AE4901"/>
    <w:rsid w:val="00AE4A14"/>
    <w:rsid w:val="00AE5589"/>
    <w:rsid w:val="00AE58C5"/>
    <w:rsid w:val="00AE59EC"/>
    <w:rsid w:val="00AE6113"/>
    <w:rsid w:val="00AE661A"/>
    <w:rsid w:val="00AE66E6"/>
    <w:rsid w:val="00AE67B3"/>
    <w:rsid w:val="00AE7088"/>
    <w:rsid w:val="00AE712A"/>
    <w:rsid w:val="00AE7454"/>
    <w:rsid w:val="00AE7864"/>
    <w:rsid w:val="00AE793D"/>
    <w:rsid w:val="00AE7949"/>
    <w:rsid w:val="00AE7A3E"/>
    <w:rsid w:val="00AE7B94"/>
    <w:rsid w:val="00AE7BBD"/>
    <w:rsid w:val="00AF0146"/>
    <w:rsid w:val="00AF0415"/>
    <w:rsid w:val="00AF04B8"/>
    <w:rsid w:val="00AF05C2"/>
    <w:rsid w:val="00AF064A"/>
    <w:rsid w:val="00AF07EE"/>
    <w:rsid w:val="00AF0AEF"/>
    <w:rsid w:val="00AF1442"/>
    <w:rsid w:val="00AF1613"/>
    <w:rsid w:val="00AF16E4"/>
    <w:rsid w:val="00AF1752"/>
    <w:rsid w:val="00AF1833"/>
    <w:rsid w:val="00AF1B7B"/>
    <w:rsid w:val="00AF234E"/>
    <w:rsid w:val="00AF24A6"/>
    <w:rsid w:val="00AF25D5"/>
    <w:rsid w:val="00AF2749"/>
    <w:rsid w:val="00AF27C8"/>
    <w:rsid w:val="00AF2B7C"/>
    <w:rsid w:val="00AF2BBA"/>
    <w:rsid w:val="00AF2D19"/>
    <w:rsid w:val="00AF2FA3"/>
    <w:rsid w:val="00AF315D"/>
    <w:rsid w:val="00AF3189"/>
    <w:rsid w:val="00AF326B"/>
    <w:rsid w:val="00AF3778"/>
    <w:rsid w:val="00AF3CF3"/>
    <w:rsid w:val="00AF3D5F"/>
    <w:rsid w:val="00AF3DBB"/>
    <w:rsid w:val="00AF43F6"/>
    <w:rsid w:val="00AF462F"/>
    <w:rsid w:val="00AF46D7"/>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CC0"/>
    <w:rsid w:val="00AF5E02"/>
    <w:rsid w:val="00AF5FFC"/>
    <w:rsid w:val="00AF6186"/>
    <w:rsid w:val="00AF6522"/>
    <w:rsid w:val="00AF6539"/>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F61"/>
    <w:rsid w:val="00B00FBB"/>
    <w:rsid w:val="00B0128C"/>
    <w:rsid w:val="00B01DBF"/>
    <w:rsid w:val="00B022A6"/>
    <w:rsid w:val="00B02318"/>
    <w:rsid w:val="00B02448"/>
    <w:rsid w:val="00B0249F"/>
    <w:rsid w:val="00B026C1"/>
    <w:rsid w:val="00B02733"/>
    <w:rsid w:val="00B0279C"/>
    <w:rsid w:val="00B02B0E"/>
    <w:rsid w:val="00B02B9C"/>
    <w:rsid w:val="00B02BBC"/>
    <w:rsid w:val="00B03183"/>
    <w:rsid w:val="00B032A0"/>
    <w:rsid w:val="00B0353B"/>
    <w:rsid w:val="00B0386D"/>
    <w:rsid w:val="00B0388C"/>
    <w:rsid w:val="00B03AD4"/>
    <w:rsid w:val="00B03AF7"/>
    <w:rsid w:val="00B0401E"/>
    <w:rsid w:val="00B040B2"/>
    <w:rsid w:val="00B0449E"/>
    <w:rsid w:val="00B0477C"/>
    <w:rsid w:val="00B047D6"/>
    <w:rsid w:val="00B0510F"/>
    <w:rsid w:val="00B05211"/>
    <w:rsid w:val="00B05385"/>
    <w:rsid w:val="00B0586F"/>
    <w:rsid w:val="00B05963"/>
    <w:rsid w:val="00B05A39"/>
    <w:rsid w:val="00B05B30"/>
    <w:rsid w:val="00B05DC5"/>
    <w:rsid w:val="00B05DE3"/>
    <w:rsid w:val="00B05DE6"/>
    <w:rsid w:val="00B05DEE"/>
    <w:rsid w:val="00B05E55"/>
    <w:rsid w:val="00B05FF8"/>
    <w:rsid w:val="00B06243"/>
    <w:rsid w:val="00B064C8"/>
    <w:rsid w:val="00B06584"/>
    <w:rsid w:val="00B06BD9"/>
    <w:rsid w:val="00B06F87"/>
    <w:rsid w:val="00B0736B"/>
    <w:rsid w:val="00B0787F"/>
    <w:rsid w:val="00B07D05"/>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707"/>
    <w:rsid w:val="00B13895"/>
    <w:rsid w:val="00B13B9D"/>
    <w:rsid w:val="00B141E1"/>
    <w:rsid w:val="00B1432F"/>
    <w:rsid w:val="00B143C1"/>
    <w:rsid w:val="00B152DF"/>
    <w:rsid w:val="00B153FA"/>
    <w:rsid w:val="00B15594"/>
    <w:rsid w:val="00B156A9"/>
    <w:rsid w:val="00B15701"/>
    <w:rsid w:val="00B1598B"/>
    <w:rsid w:val="00B15B6E"/>
    <w:rsid w:val="00B15F83"/>
    <w:rsid w:val="00B15FC8"/>
    <w:rsid w:val="00B160FF"/>
    <w:rsid w:val="00B1623A"/>
    <w:rsid w:val="00B16322"/>
    <w:rsid w:val="00B165AA"/>
    <w:rsid w:val="00B1662E"/>
    <w:rsid w:val="00B1665E"/>
    <w:rsid w:val="00B166B5"/>
    <w:rsid w:val="00B167A7"/>
    <w:rsid w:val="00B1686D"/>
    <w:rsid w:val="00B16895"/>
    <w:rsid w:val="00B16948"/>
    <w:rsid w:val="00B16A6F"/>
    <w:rsid w:val="00B16BFB"/>
    <w:rsid w:val="00B16D79"/>
    <w:rsid w:val="00B16E92"/>
    <w:rsid w:val="00B17004"/>
    <w:rsid w:val="00B172D0"/>
    <w:rsid w:val="00B175A1"/>
    <w:rsid w:val="00B1785F"/>
    <w:rsid w:val="00B17C9B"/>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CBA"/>
    <w:rsid w:val="00B21E5C"/>
    <w:rsid w:val="00B21EA5"/>
    <w:rsid w:val="00B220B8"/>
    <w:rsid w:val="00B221E7"/>
    <w:rsid w:val="00B22646"/>
    <w:rsid w:val="00B226AE"/>
    <w:rsid w:val="00B22808"/>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72D"/>
    <w:rsid w:val="00B24747"/>
    <w:rsid w:val="00B24801"/>
    <w:rsid w:val="00B24961"/>
    <w:rsid w:val="00B2499D"/>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B4E"/>
    <w:rsid w:val="00B30E27"/>
    <w:rsid w:val="00B31246"/>
    <w:rsid w:val="00B31708"/>
    <w:rsid w:val="00B3171D"/>
    <w:rsid w:val="00B31BBA"/>
    <w:rsid w:val="00B31CF9"/>
    <w:rsid w:val="00B31DB7"/>
    <w:rsid w:val="00B321FA"/>
    <w:rsid w:val="00B32491"/>
    <w:rsid w:val="00B324E6"/>
    <w:rsid w:val="00B3250A"/>
    <w:rsid w:val="00B32540"/>
    <w:rsid w:val="00B326FF"/>
    <w:rsid w:val="00B3275B"/>
    <w:rsid w:val="00B327D0"/>
    <w:rsid w:val="00B32CE8"/>
    <w:rsid w:val="00B32E71"/>
    <w:rsid w:val="00B32FB7"/>
    <w:rsid w:val="00B332B2"/>
    <w:rsid w:val="00B33645"/>
    <w:rsid w:val="00B33F0A"/>
    <w:rsid w:val="00B340AA"/>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EE1"/>
    <w:rsid w:val="00B3630C"/>
    <w:rsid w:val="00B3675F"/>
    <w:rsid w:val="00B36959"/>
    <w:rsid w:val="00B36A48"/>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B"/>
    <w:rsid w:val="00B403EB"/>
    <w:rsid w:val="00B405A1"/>
    <w:rsid w:val="00B405A9"/>
    <w:rsid w:val="00B4098C"/>
    <w:rsid w:val="00B40D35"/>
    <w:rsid w:val="00B40E00"/>
    <w:rsid w:val="00B40F8E"/>
    <w:rsid w:val="00B411BD"/>
    <w:rsid w:val="00B4120F"/>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BD"/>
    <w:rsid w:val="00B431CE"/>
    <w:rsid w:val="00B433CC"/>
    <w:rsid w:val="00B435B1"/>
    <w:rsid w:val="00B4367F"/>
    <w:rsid w:val="00B437DB"/>
    <w:rsid w:val="00B437FB"/>
    <w:rsid w:val="00B4381A"/>
    <w:rsid w:val="00B438BA"/>
    <w:rsid w:val="00B438F6"/>
    <w:rsid w:val="00B439F8"/>
    <w:rsid w:val="00B43AD0"/>
    <w:rsid w:val="00B43BF4"/>
    <w:rsid w:val="00B43C46"/>
    <w:rsid w:val="00B44159"/>
    <w:rsid w:val="00B4428C"/>
    <w:rsid w:val="00B44531"/>
    <w:rsid w:val="00B447FC"/>
    <w:rsid w:val="00B449D5"/>
    <w:rsid w:val="00B44AD4"/>
    <w:rsid w:val="00B44CDC"/>
    <w:rsid w:val="00B44E6A"/>
    <w:rsid w:val="00B44F99"/>
    <w:rsid w:val="00B4517B"/>
    <w:rsid w:val="00B4521B"/>
    <w:rsid w:val="00B45284"/>
    <w:rsid w:val="00B45403"/>
    <w:rsid w:val="00B4542F"/>
    <w:rsid w:val="00B454A8"/>
    <w:rsid w:val="00B45619"/>
    <w:rsid w:val="00B45876"/>
    <w:rsid w:val="00B45886"/>
    <w:rsid w:val="00B45BDA"/>
    <w:rsid w:val="00B463EC"/>
    <w:rsid w:val="00B463F1"/>
    <w:rsid w:val="00B46745"/>
    <w:rsid w:val="00B467FC"/>
    <w:rsid w:val="00B46826"/>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62B"/>
    <w:rsid w:val="00B506E7"/>
    <w:rsid w:val="00B50851"/>
    <w:rsid w:val="00B509BF"/>
    <w:rsid w:val="00B50EF7"/>
    <w:rsid w:val="00B50F0A"/>
    <w:rsid w:val="00B510D9"/>
    <w:rsid w:val="00B51147"/>
    <w:rsid w:val="00B51271"/>
    <w:rsid w:val="00B5149E"/>
    <w:rsid w:val="00B51542"/>
    <w:rsid w:val="00B5165C"/>
    <w:rsid w:val="00B516B1"/>
    <w:rsid w:val="00B517D7"/>
    <w:rsid w:val="00B51C15"/>
    <w:rsid w:val="00B51D1D"/>
    <w:rsid w:val="00B51E33"/>
    <w:rsid w:val="00B51EFB"/>
    <w:rsid w:val="00B5216E"/>
    <w:rsid w:val="00B526BB"/>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8BD"/>
    <w:rsid w:val="00B549A1"/>
    <w:rsid w:val="00B549F2"/>
    <w:rsid w:val="00B54A9A"/>
    <w:rsid w:val="00B54ACC"/>
    <w:rsid w:val="00B54DCB"/>
    <w:rsid w:val="00B54E59"/>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488"/>
    <w:rsid w:val="00B615E5"/>
    <w:rsid w:val="00B6161E"/>
    <w:rsid w:val="00B61763"/>
    <w:rsid w:val="00B617B9"/>
    <w:rsid w:val="00B61917"/>
    <w:rsid w:val="00B61951"/>
    <w:rsid w:val="00B61B1F"/>
    <w:rsid w:val="00B61B70"/>
    <w:rsid w:val="00B61BE2"/>
    <w:rsid w:val="00B61EE3"/>
    <w:rsid w:val="00B61F59"/>
    <w:rsid w:val="00B6244B"/>
    <w:rsid w:val="00B625ED"/>
    <w:rsid w:val="00B6266F"/>
    <w:rsid w:val="00B6293A"/>
    <w:rsid w:val="00B62C4C"/>
    <w:rsid w:val="00B62CBF"/>
    <w:rsid w:val="00B62E0B"/>
    <w:rsid w:val="00B62EA9"/>
    <w:rsid w:val="00B62F40"/>
    <w:rsid w:val="00B62F8F"/>
    <w:rsid w:val="00B62F94"/>
    <w:rsid w:val="00B63193"/>
    <w:rsid w:val="00B631C9"/>
    <w:rsid w:val="00B63250"/>
    <w:rsid w:val="00B6363B"/>
    <w:rsid w:val="00B63C32"/>
    <w:rsid w:val="00B64101"/>
    <w:rsid w:val="00B643E0"/>
    <w:rsid w:val="00B64434"/>
    <w:rsid w:val="00B6459C"/>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FCC"/>
    <w:rsid w:val="00B676E9"/>
    <w:rsid w:val="00B67A7C"/>
    <w:rsid w:val="00B67B85"/>
    <w:rsid w:val="00B67C41"/>
    <w:rsid w:val="00B67C58"/>
    <w:rsid w:val="00B67DE5"/>
    <w:rsid w:val="00B70057"/>
    <w:rsid w:val="00B700A0"/>
    <w:rsid w:val="00B702B7"/>
    <w:rsid w:val="00B702FA"/>
    <w:rsid w:val="00B70333"/>
    <w:rsid w:val="00B70550"/>
    <w:rsid w:val="00B705BC"/>
    <w:rsid w:val="00B706DC"/>
    <w:rsid w:val="00B7073C"/>
    <w:rsid w:val="00B70A3B"/>
    <w:rsid w:val="00B70AD9"/>
    <w:rsid w:val="00B70AEB"/>
    <w:rsid w:val="00B70E2F"/>
    <w:rsid w:val="00B70E53"/>
    <w:rsid w:val="00B70E95"/>
    <w:rsid w:val="00B711CE"/>
    <w:rsid w:val="00B7176D"/>
    <w:rsid w:val="00B718C2"/>
    <w:rsid w:val="00B71DC8"/>
    <w:rsid w:val="00B71FF9"/>
    <w:rsid w:val="00B721A2"/>
    <w:rsid w:val="00B7226A"/>
    <w:rsid w:val="00B722DB"/>
    <w:rsid w:val="00B7244F"/>
    <w:rsid w:val="00B72643"/>
    <w:rsid w:val="00B72943"/>
    <w:rsid w:val="00B729E0"/>
    <w:rsid w:val="00B72CBD"/>
    <w:rsid w:val="00B72E1B"/>
    <w:rsid w:val="00B731AB"/>
    <w:rsid w:val="00B73341"/>
    <w:rsid w:val="00B737F9"/>
    <w:rsid w:val="00B7389E"/>
    <w:rsid w:val="00B73913"/>
    <w:rsid w:val="00B73980"/>
    <w:rsid w:val="00B73B25"/>
    <w:rsid w:val="00B73E53"/>
    <w:rsid w:val="00B73EF7"/>
    <w:rsid w:val="00B73F3C"/>
    <w:rsid w:val="00B74222"/>
    <w:rsid w:val="00B74546"/>
    <w:rsid w:val="00B746C6"/>
    <w:rsid w:val="00B74858"/>
    <w:rsid w:val="00B74920"/>
    <w:rsid w:val="00B74979"/>
    <w:rsid w:val="00B74C2F"/>
    <w:rsid w:val="00B74EDC"/>
    <w:rsid w:val="00B75375"/>
    <w:rsid w:val="00B7588A"/>
    <w:rsid w:val="00B75AF8"/>
    <w:rsid w:val="00B75B36"/>
    <w:rsid w:val="00B75BB1"/>
    <w:rsid w:val="00B7604C"/>
    <w:rsid w:val="00B7617A"/>
    <w:rsid w:val="00B76270"/>
    <w:rsid w:val="00B762A3"/>
    <w:rsid w:val="00B76366"/>
    <w:rsid w:val="00B764B1"/>
    <w:rsid w:val="00B7652C"/>
    <w:rsid w:val="00B766BF"/>
    <w:rsid w:val="00B766FE"/>
    <w:rsid w:val="00B7684D"/>
    <w:rsid w:val="00B7699B"/>
    <w:rsid w:val="00B76C38"/>
    <w:rsid w:val="00B76FA6"/>
    <w:rsid w:val="00B77AA7"/>
    <w:rsid w:val="00B77B4C"/>
    <w:rsid w:val="00B77F11"/>
    <w:rsid w:val="00B802E8"/>
    <w:rsid w:val="00B80419"/>
    <w:rsid w:val="00B80576"/>
    <w:rsid w:val="00B807B3"/>
    <w:rsid w:val="00B80910"/>
    <w:rsid w:val="00B80C71"/>
    <w:rsid w:val="00B80D1B"/>
    <w:rsid w:val="00B80EE4"/>
    <w:rsid w:val="00B81487"/>
    <w:rsid w:val="00B816AA"/>
    <w:rsid w:val="00B81761"/>
    <w:rsid w:val="00B818F4"/>
    <w:rsid w:val="00B81A41"/>
    <w:rsid w:val="00B81BC9"/>
    <w:rsid w:val="00B82176"/>
    <w:rsid w:val="00B8222F"/>
    <w:rsid w:val="00B82615"/>
    <w:rsid w:val="00B8270E"/>
    <w:rsid w:val="00B82816"/>
    <w:rsid w:val="00B82CD7"/>
    <w:rsid w:val="00B82DBF"/>
    <w:rsid w:val="00B82F7F"/>
    <w:rsid w:val="00B8304E"/>
    <w:rsid w:val="00B8309C"/>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AA2"/>
    <w:rsid w:val="00B85C94"/>
    <w:rsid w:val="00B85CED"/>
    <w:rsid w:val="00B86033"/>
    <w:rsid w:val="00B86055"/>
    <w:rsid w:val="00B8607E"/>
    <w:rsid w:val="00B86122"/>
    <w:rsid w:val="00B86276"/>
    <w:rsid w:val="00B86299"/>
    <w:rsid w:val="00B86337"/>
    <w:rsid w:val="00B86400"/>
    <w:rsid w:val="00B86476"/>
    <w:rsid w:val="00B86998"/>
    <w:rsid w:val="00B86A3D"/>
    <w:rsid w:val="00B86BAD"/>
    <w:rsid w:val="00B86DBC"/>
    <w:rsid w:val="00B86F27"/>
    <w:rsid w:val="00B8711C"/>
    <w:rsid w:val="00B8717B"/>
    <w:rsid w:val="00B873D2"/>
    <w:rsid w:val="00B87467"/>
    <w:rsid w:val="00B875C7"/>
    <w:rsid w:val="00B879EC"/>
    <w:rsid w:val="00B87AEA"/>
    <w:rsid w:val="00B87DEC"/>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603"/>
    <w:rsid w:val="00B9173B"/>
    <w:rsid w:val="00B91989"/>
    <w:rsid w:val="00B919AD"/>
    <w:rsid w:val="00B91A2B"/>
    <w:rsid w:val="00B91EA5"/>
    <w:rsid w:val="00B92084"/>
    <w:rsid w:val="00B92248"/>
    <w:rsid w:val="00B92761"/>
    <w:rsid w:val="00B92797"/>
    <w:rsid w:val="00B92968"/>
    <w:rsid w:val="00B92A88"/>
    <w:rsid w:val="00B92BF8"/>
    <w:rsid w:val="00B93204"/>
    <w:rsid w:val="00B9331C"/>
    <w:rsid w:val="00B93724"/>
    <w:rsid w:val="00B938A7"/>
    <w:rsid w:val="00B938CE"/>
    <w:rsid w:val="00B94073"/>
    <w:rsid w:val="00B943FF"/>
    <w:rsid w:val="00B94E17"/>
    <w:rsid w:val="00B94F3B"/>
    <w:rsid w:val="00B951C1"/>
    <w:rsid w:val="00B95262"/>
    <w:rsid w:val="00B95311"/>
    <w:rsid w:val="00B953C1"/>
    <w:rsid w:val="00B95404"/>
    <w:rsid w:val="00B956BD"/>
    <w:rsid w:val="00B956DD"/>
    <w:rsid w:val="00B957FE"/>
    <w:rsid w:val="00B95839"/>
    <w:rsid w:val="00B95A9A"/>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97A"/>
    <w:rsid w:val="00BA0AA8"/>
    <w:rsid w:val="00BA0AAA"/>
    <w:rsid w:val="00BA0BD2"/>
    <w:rsid w:val="00BA0C35"/>
    <w:rsid w:val="00BA0DFB"/>
    <w:rsid w:val="00BA1330"/>
    <w:rsid w:val="00BA17AF"/>
    <w:rsid w:val="00BA2073"/>
    <w:rsid w:val="00BA245D"/>
    <w:rsid w:val="00BA2D9C"/>
    <w:rsid w:val="00BA2FEF"/>
    <w:rsid w:val="00BA319D"/>
    <w:rsid w:val="00BA36A0"/>
    <w:rsid w:val="00BA4056"/>
    <w:rsid w:val="00BA42CC"/>
    <w:rsid w:val="00BA44A2"/>
    <w:rsid w:val="00BA451A"/>
    <w:rsid w:val="00BA46C7"/>
    <w:rsid w:val="00BA4A53"/>
    <w:rsid w:val="00BA4B01"/>
    <w:rsid w:val="00BA4B85"/>
    <w:rsid w:val="00BA4F27"/>
    <w:rsid w:val="00BA4F2C"/>
    <w:rsid w:val="00BA4FE4"/>
    <w:rsid w:val="00BA5093"/>
    <w:rsid w:val="00BA5893"/>
    <w:rsid w:val="00BA5A7A"/>
    <w:rsid w:val="00BA5B9A"/>
    <w:rsid w:val="00BA5BE3"/>
    <w:rsid w:val="00BA5E2B"/>
    <w:rsid w:val="00BA6178"/>
    <w:rsid w:val="00BA6220"/>
    <w:rsid w:val="00BA6575"/>
    <w:rsid w:val="00BA66CF"/>
    <w:rsid w:val="00BA6857"/>
    <w:rsid w:val="00BA6CA9"/>
    <w:rsid w:val="00BA6CFD"/>
    <w:rsid w:val="00BA6D4B"/>
    <w:rsid w:val="00BA70AC"/>
    <w:rsid w:val="00BA720F"/>
    <w:rsid w:val="00BA73B2"/>
    <w:rsid w:val="00BA7669"/>
    <w:rsid w:val="00BA7770"/>
    <w:rsid w:val="00BA77CF"/>
    <w:rsid w:val="00BA7FF3"/>
    <w:rsid w:val="00BB05BA"/>
    <w:rsid w:val="00BB06F0"/>
    <w:rsid w:val="00BB07E8"/>
    <w:rsid w:val="00BB0EEC"/>
    <w:rsid w:val="00BB1403"/>
    <w:rsid w:val="00BB1548"/>
    <w:rsid w:val="00BB1574"/>
    <w:rsid w:val="00BB1B10"/>
    <w:rsid w:val="00BB1C78"/>
    <w:rsid w:val="00BB1CE7"/>
    <w:rsid w:val="00BB1D73"/>
    <w:rsid w:val="00BB1ECC"/>
    <w:rsid w:val="00BB1FA7"/>
    <w:rsid w:val="00BB2631"/>
    <w:rsid w:val="00BB2837"/>
    <w:rsid w:val="00BB283A"/>
    <w:rsid w:val="00BB2BC7"/>
    <w:rsid w:val="00BB2E1E"/>
    <w:rsid w:val="00BB2FD3"/>
    <w:rsid w:val="00BB2FDF"/>
    <w:rsid w:val="00BB2FFF"/>
    <w:rsid w:val="00BB321E"/>
    <w:rsid w:val="00BB39DC"/>
    <w:rsid w:val="00BB3A29"/>
    <w:rsid w:val="00BB3BC2"/>
    <w:rsid w:val="00BB3C2E"/>
    <w:rsid w:val="00BB3E3F"/>
    <w:rsid w:val="00BB3EAE"/>
    <w:rsid w:val="00BB3FBD"/>
    <w:rsid w:val="00BB3FC0"/>
    <w:rsid w:val="00BB442E"/>
    <w:rsid w:val="00BB44FB"/>
    <w:rsid w:val="00BB4574"/>
    <w:rsid w:val="00BB465B"/>
    <w:rsid w:val="00BB4D38"/>
    <w:rsid w:val="00BB4F2A"/>
    <w:rsid w:val="00BB5222"/>
    <w:rsid w:val="00BB5278"/>
    <w:rsid w:val="00BB532E"/>
    <w:rsid w:val="00BB55C4"/>
    <w:rsid w:val="00BB57BD"/>
    <w:rsid w:val="00BB5CC3"/>
    <w:rsid w:val="00BB5FCB"/>
    <w:rsid w:val="00BB600D"/>
    <w:rsid w:val="00BB604B"/>
    <w:rsid w:val="00BB61D1"/>
    <w:rsid w:val="00BB62FA"/>
    <w:rsid w:val="00BB65BF"/>
    <w:rsid w:val="00BB687E"/>
    <w:rsid w:val="00BB697D"/>
    <w:rsid w:val="00BB69CC"/>
    <w:rsid w:val="00BB6C1E"/>
    <w:rsid w:val="00BB6C37"/>
    <w:rsid w:val="00BB6D2B"/>
    <w:rsid w:val="00BB6E21"/>
    <w:rsid w:val="00BB7C43"/>
    <w:rsid w:val="00BB7E6F"/>
    <w:rsid w:val="00BB7F50"/>
    <w:rsid w:val="00BC00EC"/>
    <w:rsid w:val="00BC01E5"/>
    <w:rsid w:val="00BC0220"/>
    <w:rsid w:val="00BC05E3"/>
    <w:rsid w:val="00BC08C5"/>
    <w:rsid w:val="00BC0AD8"/>
    <w:rsid w:val="00BC0EF2"/>
    <w:rsid w:val="00BC104B"/>
    <w:rsid w:val="00BC12FB"/>
    <w:rsid w:val="00BC1AC2"/>
    <w:rsid w:val="00BC1C11"/>
    <w:rsid w:val="00BC1C3C"/>
    <w:rsid w:val="00BC1D45"/>
    <w:rsid w:val="00BC1D6C"/>
    <w:rsid w:val="00BC22AF"/>
    <w:rsid w:val="00BC245A"/>
    <w:rsid w:val="00BC2704"/>
    <w:rsid w:val="00BC2A00"/>
    <w:rsid w:val="00BC307F"/>
    <w:rsid w:val="00BC30C3"/>
    <w:rsid w:val="00BC313B"/>
    <w:rsid w:val="00BC3159"/>
    <w:rsid w:val="00BC3257"/>
    <w:rsid w:val="00BC351A"/>
    <w:rsid w:val="00BC39DB"/>
    <w:rsid w:val="00BC3A32"/>
    <w:rsid w:val="00BC3B07"/>
    <w:rsid w:val="00BC3BB2"/>
    <w:rsid w:val="00BC3C6A"/>
    <w:rsid w:val="00BC3CA0"/>
    <w:rsid w:val="00BC3CEC"/>
    <w:rsid w:val="00BC3D23"/>
    <w:rsid w:val="00BC3D3F"/>
    <w:rsid w:val="00BC3E5F"/>
    <w:rsid w:val="00BC3F63"/>
    <w:rsid w:val="00BC4142"/>
    <w:rsid w:val="00BC4547"/>
    <w:rsid w:val="00BC46EF"/>
    <w:rsid w:val="00BC48CC"/>
    <w:rsid w:val="00BC48DB"/>
    <w:rsid w:val="00BC4AE7"/>
    <w:rsid w:val="00BC4B04"/>
    <w:rsid w:val="00BC4B90"/>
    <w:rsid w:val="00BC4F9D"/>
    <w:rsid w:val="00BC5130"/>
    <w:rsid w:val="00BC5515"/>
    <w:rsid w:val="00BC556D"/>
    <w:rsid w:val="00BC59D4"/>
    <w:rsid w:val="00BC6127"/>
    <w:rsid w:val="00BC6337"/>
    <w:rsid w:val="00BC65F1"/>
    <w:rsid w:val="00BC6F5F"/>
    <w:rsid w:val="00BC6FD6"/>
    <w:rsid w:val="00BC730E"/>
    <w:rsid w:val="00BC73AD"/>
    <w:rsid w:val="00BC7BB8"/>
    <w:rsid w:val="00BC7F91"/>
    <w:rsid w:val="00BD008E"/>
    <w:rsid w:val="00BD038C"/>
    <w:rsid w:val="00BD054E"/>
    <w:rsid w:val="00BD0713"/>
    <w:rsid w:val="00BD071A"/>
    <w:rsid w:val="00BD08C6"/>
    <w:rsid w:val="00BD0AFF"/>
    <w:rsid w:val="00BD0B01"/>
    <w:rsid w:val="00BD0CDE"/>
    <w:rsid w:val="00BD0E79"/>
    <w:rsid w:val="00BD0E85"/>
    <w:rsid w:val="00BD1450"/>
    <w:rsid w:val="00BD1572"/>
    <w:rsid w:val="00BD1917"/>
    <w:rsid w:val="00BD197E"/>
    <w:rsid w:val="00BD19B3"/>
    <w:rsid w:val="00BD1D0D"/>
    <w:rsid w:val="00BD1DFD"/>
    <w:rsid w:val="00BD2019"/>
    <w:rsid w:val="00BD21BE"/>
    <w:rsid w:val="00BD2527"/>
    <w:rsid w:val="00BD2E63"/>
    <w:rsid w:val="00BD2F3B"/>
    <w:rsid w:val="00BD2FA6"/>
    <w:rsid w:val="00BD3372"/>
    <w:rsid w:val="00BD33AB"/>
    <w:rsid w:val="00BD36AC"/>
    <w:rsid w:val="00BD3AD9"/>
    <w:rsid w:val="00BD3B8F"/>
    <w:rsid w:val="00BD3D7D"/>
    <w:rsid w:val="00BD40BE"/>
    <w:rsid w:val="00BD436C"/>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39"/>
    <w:rsid w:val="00BD5B9F"/>
    <w:rsid w:val="00BD5BE9"/>
    <w:rsid w:val="00BD5C0A"/>
    <w:rsid w:val="00BD5E20"/>
    <w:rsid w:val="00BD5E54"/>
    <w:rsid w:val="00BD61A6"/>
    <w:rsid w:val="00BD6274"/>
    <w:rsid w:val="00BD62AB"/>
    <w:rsid w:val="00BD6420"/>
    <w:rsid w:val="00BD6729"/>
    <w:rsid w:val="00BD6B0D"/>
    <w:rsid w:val="00BD6C27"/>
    <w:rsid w:val="00BD6D98"/>
    <w:rsid w:val="00BD7046"/>
    <w:rsid w:val="00BD7291"/>
    <w:rsid w:val="00BD7308"/>
    <w:rsid w:val="00BD7481"/>
    <w:rsid w:val="00BD755A"/>
    <w:rsid w:val="00BD75DB"/>
    <w:rsid w:val="00BD7649"/>
    <w:rsid w:val="00BD799E"/>
    <w:rsid w:val="00BD7B3E"/>
    <w:rsid w:val="00BD7BB8"/>
    <w:rsid w:val="00BD7CC9"/>
    <w:rsid w:val="00BD7EA3"/>
    <w:rsid w:val="00BD7F2A"/>
    <w:rsid w:val="00BD7FD1"/>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23"/>
    <w:rsid w:val="00BE332D"/>
    <w:rsid w:val="00BE3495"/>
    <w:rsid w:val="00BE357E"/>
    <w:rsid w:val="00BE36F2"/>
    <w:rsid w:val="00BE3CD2"/>
    <w:rsid w:val="00BE3CF1"/>
    <w:rsid w:val="00BE3DD5"/>
    <w:rsid w:val="00BE4268"/>
    <w:rsid w:val="00BE45E1"/>
    <w:rsid w:val="00BE49D0"/>
    <w:rsid w:val="00BE4AAC"/>
    <w:rsid w:val="00BE4B20"/>
    <w:rsid w:val="00BE4B62"/>
    <w:rsid w:val="00BE4BFE"/>
    <w:rsid w:val="00BE4C14"/>
    <w:rsid w:val="00BE4D87"/>
    <w:rsid w:val="00BE4DCA"/>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F6A"/>
    <w:rsid w:val="00BF008B"/>
    <w:rsid w:val="00BF0274"/>
    <w:rsid w:val="00BF03AB"/>
    <w:rsid w:val="00BF047B"/>
    <w:rsid w:val="00BF08C4"/>
    <w:rsid w:val="00BF0975"/>
    <w:rsid w:val="00BF0A82"/>
    <w:rsid w:val="00BF0B5F"/>
    <w:rsid w:val="00BF0BAF"/>
    <w:rsid w:val="00BF0CFD"/>
    <w:rsid w:val="00BF0DC6"/>
    <w:rsid w:val="00BF1101"/>
    <w:rsid w:val="00BF123E"/>
    <w:rsid w:val="00BF1248"/>
    <w:rsid w:val="00BF1814"/>
    <w:rsid w:val="00BF18D6"/>
    <w:rsid w:val="00BF19CE"/>
    <w:rsid w:val="00BF1BE5"/>
    <w:rsid w:val="00BF1C2F"/>
    <w:rsid w:val="00BF1C98"/>
    <w:rsid w:val="00BF1EC0"/>
    <w:rsid w:val="00BF2372"/>
    <w:rsid w:val="00BF23C7"/>
    <w:rsid w:val="00BF23F9"/>
    <w:rsid w:val="00BF2560"/>
    <w:rsid w:val="00BF25CA"/>
    <w:rsid w:val="00BF28FD"/>
    <w:rsid w:val="00BF29FD"/>
    <w:rsid w:val="00BF2A20"/>
    <w:rsid w:val="00BF2B6F"/>
    <w:rsid w:val="00BF2C6D"/>
    <w:rsid w:val="00BF2ED0"/>
    <w:rsid w:val="00BF2F6F"/>
    <w:rsid w:val="00BF31FC"/>
    <w:rsid w:val="00BF351A"/>
    <w:rsid w:val="00BF3555"/>
    <w:rsid w:val="00BF3658"/>
    <w:rsid w:val="00BF37C3"/>
    <w:rsid w:val="00BF3914"/>
    <w:rsid w:val="00BF3BFB"/>
    <w:rsid w:val="00BF3E14"/>
    <w:rsid w:val="00BF3F33"/>
    <w:rsid w:val="00BF4016"/>
    <w:rsid w:val="00BF41E6"/>
    <w:rsid w:val="00BF420D"/>
    <w:rsid w:val="00BF49B1"/>
    <w:rsid w:val="00BF5227"/>
    <w:rsid w:val="00BF5552"/>
    <w:rsid w:val="00BF561D"/>
    <w:rsid w:val="00BF590E"/>
    <w:rsid w:val="00BF5A92"/>
    <w:rsid w:val="00BF5BCE"/>
    <w:rsid w:val="00BF5CCB"/>
    <w:rsid w:val="00BF5F18"/>
    <w:rsid w:val="00BF6080"/>
    <w:rsid w:val="00BF6135"/>
    <w:rsid w:val="00BF6141"/>
    <w:rsid w:val="00BF628D"/>
    <w:rsid w:val="00BF6881"/>
    <w:rsid w:val="00BF6890"/>
    <w:rsid w:val="00BF68F5"/>
    <w:rsid w:val="00BF6C7D"/>
    <w:rsid w:val="00BF6CD3"/>
    <w:rsid w:val="00BF725F"/>
    <w:rsid w:val="00BF72CC"/>
    <w:rsid w:val="00BF73F2"/>
    <w:rsid w:val="00BF76E4"/>
    <w:rsid w:val="00BF7741"/>
    <w:rsid w:val="00BF777D"/>
    <w:rsid w:val="00BF78F3"/>
    <w:rsid w:val="00BF7B08"/>
    <w:rsid w:val="00BF7B4B"/>
    <w:rsid w:val="00BF7CE4"/>
    <w:rsid w:val="00BF7F2D"/>
    <w:rsid w:val="00BF7FC4"/>
    <w:rsid w:val="00C00060"/>
    <w:rsid w:val="00C00111"/>
    <w:rsid w:val="00C003DB"/>
    <w:rsid w:val="00C00421"/>
    <w:rsid w:val="00C00568"/>
    <w:rsid w:val="00C0057B"/>
    <w:rsid w:val="00C00738"/>
    <w:rsid w:val="00C00D5B"/>
    <w:rsid w:val="00C01671"/>
    <w:rsid w:val="00C01949"/>
    <w:rsid w:val="00C01A37"/>
    <w:rsid w:val="00C01CAA"/>
    <w:rsid w:val="00C01D0E"/>
    <w:rsid w:val="00C0217C"/>
    <w:rsid w:val="00C02346"/>
    <w:rsid w:val="00C02378"/>
    <w:rsid w:val="00C02419"/>
    <w:rsid w:val="00C025E5"/>
    <w:rsid w:val="00C025EB"/>
    <w:rsid w:val="00C02766"/>
    <w:rsid w:val="00C02789"/>
    <w:rsid w:val="00C029F1"/>
    <w:rsid w:val="00C02A3F"/>
    <w:rsid w:val="00C02ADC"/>
    <w:rsid w:val="00C02CCE"/>
    <w:rsid w:val="00C02D6D"/>
    <w:rsid w:val="00C02E37"/>
    <w:rsid w:val="00C02EE5"/>
    <w:rsid w:val="00C02FB5"/>
    <w:rsid w:val="00C03126"/>
    <w:rsid w:val="00C0312E"/>
    <w:rsid w:val="00C034AD"/>
    <w:rsid w:val="00C03AB1"/>
    <w:rsid w:val="00C03EE8"/>
    <w:rsid w:val="00C0462A"/>
    <w:rsid w:val="00C0478D"/>
    <w:rsid w:val="00C04938"/>
    <w:rsid w:val="00C04D90"/>
    <w:rsid w:val="00C05006"/>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65D"/>
    <w:rsid w:val="00C109AB"/>
    <w:rsid w:val="00C109C8"/>
    <w:rsid w:val="00C10B47"/>
    <w:rsid w:val="00C10CE5"/>
    <w:rsid w:val="00C10D83"/>
    <w:rsid w:val="00C10E9F"/>
    <w:rsid w:val="00C10EEE"/>
    <w:rsid w:val="00C11013"/>
    <w:rsid w:val="00C110E5"/>
    <w:rsid w:val="00C1112B"/>
    <w:rsid w:val="00C11228"/>
    <w:rsid w:val="00C112D5"/>
    <w:rsid w:val="00C113D5"/>
    <w:rsid w:val="00C11A88"/>
    <w:rsid w:val="00C11F8D"/>
    <w:rsid w:val="00C12012"/>
    <w:rsid w:val="00C1206D"/>
    <w:rsid w:val="00C1213D"/>
    <w:rsid w:val="00C12286"/>
    <w:rsid w:val="00C126AC"/>
    <w:rsid w:val="00C127BD"/>
    <w:rsid w:val="00C12834"/>
    <w:rsid w:val="00C12874"/>
    <w:rsid w:val="00C12BC1"/>
    <w:rsid w:val="00C12C0B"/>
    <w:rsid w:val="00C1311D"/>
    <w:rsid w:val="00C1315C"/>
    <w:rsid w:val="00C1320B"/>
    <w:rsid w:val="00C13BDA"/>
    <w:rsid w:val="00C13BFC"/>
    <w:rsid w:val="00C13EF1"/>
    <w:rsid w:val="00C13FFD"/>
    <w:rsid w:val="00C140B3"/>
    <w:rsid w:val="00C14632"/>
    <w:rsid w:val="00C14B35"/>
    <w:rsid w:val="00C14BA8"/>
    <w:rsid w:val="00C14C1F"/>
    <w:rsid w:val="00C14F0C"/>
    <w:rsid w:val="00C14FE7"/>
    <w:rsid w:val="00C152A0"/>
    <w:rsid w:val="00C152F8"/>
    <w:rsid w:val="00C1538F"/>
    <w:rsid w:val="00C15758"/>
    <w:rsid w:val="00C159DF"/>
    <w:rsid w:val="00C15B34"/>
    <w:rsid w:val="00C15E5A"/>
    <w:rsid w:val="00C15EEB"/>
    <w:rsid w:val="00C16010"/>
    <w:rsid w:val="00C160A2"/>
    <w:rsid w:val="00C1637C"/>
    <w:rsid w:val="00C164F3"/>
    <w:rsid w:val="00C16747"/>
    <w:rsid w:val="00C16906"/>
    <w:rsid w:val="00C16B30"/>
    <w:rsid w:val="00C16C30"/>
    <w:rsid w:val="00C16C89"/>
    <w:rsid w:val="00C16EA1"/>
    <w:rsid w:val="00C16F7A"/>
    <w:rsid w:val="00C170A3"/>
    <w:rsid w:val="00C17557"/>
    <w:rsid w:val="00C1761D"/>
    <w:rsid w:val="00C17A9E"/>
    <w:rsid w:val="00C17BAA"/>
    <w:rsid w:val="00C17E83"/>
    <w:rsid w:val="00C202D9"/>
    <w:rsid w:val="00C20335"/>
    <w:rsid w:val="00C20729"/>
    <w:rsid w:val="00C208D0"/>
    <w:rsid w:val="00C20982"/>
    <w:rsid w:val="00C20A00"/>
    <w:rsid w:val="00C20BD2"/>
    <w:rsid w:val="00C21464"/>
    <w:rsid w:val="00C214F9"/>
    <w:rsid w:val="00C21673"/>
    <w:rsid w:val="00C2171B"/>
    <w:rsid w:val="00C21C7A"/>
    <w:rsid w:val="00C220A0"/>
    <w:rsid w:val="00C228C4"/>
    <w:rsid w:val="00C22A26"/>
    <w:rsid w:val="00C22C51"/>
    <w:rsid w:val="00C22F0C"/>
    <w:rsid w:val="00C22F7C"/>
    <w:rsid w:val="00C23083"/>
    <w:rsid w:val="00C2312D"/>
    <w:rsid w:val="00C23130"/>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7BD"/>
    <w:rsid w:val="00C26819"/>
    <w:rsid w:val="00C268E4"/>
    <w:rsid w:val="00C26C59"/>
    <w:rsid w:val="00C26C84"/>
    <w:rsid w:val="00C26DB8"/>
    <w:rsid w:val="00C26E20"/>
    <w:rsid w:val="00C26FA6"/>
    <w:rsid w:val="00C27061"/>
    <w:rsid w:val="00C274A4"/>
    <w:rsid w:val="00C276EC"/>
    <w:rsid w:val="00C27833"/>
    <w:rsid w:val="00C27980"/>
    <w:rsid w:val="00C27C45"/>
    <w:rsid w:val="00C27C49"/>
    <w:rsid w:val="00C27FC7"/>
    <w:rsid w:val="00C30174"/>
    <w:rsid w:val="00C3038A"/>
    <w:rsid w:val="00C3039B"/>
    <w:rsid w:val="00C303AF"/>
    <w:rsid w:val="00C30874"/>
    <w:rsid w:val="00C30C9A"/>
    <w:rsid w:val="00C30CEE"/>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456"/>
    <w:rsid w:val="00C3353B"/>
    <w:rsid w:val="00C33611"/>
    <w:rsid w:val="00C33BC3"/>
    <w:rsid w:val="00C33CE0"/>
    <w:rsid w:val="00C3400F"/>
    <w:rsid w:val="00C34163"/>
    <w:rsid w:val="00C34398"/>
    <w:rsid w:val="00C343F9"/>
    <w:rsid w:val="00C34712"/>
    <w:rsid w:val="00C3483D"/>
    <w:rsid w:val="00C34B64"/>
    <w:rsid w:val="00C34C36"/>
    <w:rsid w:val="00C34C64"/>
    <w:rsid w:val="00C34D10"/>
    <w:rsid w:val="00C34D5E"/>
    <w:rsid w:val="00C34D72"/>
    <w:rsid w:val="00C352B3"/>
    <w:rsid w:val="00C35552"/>
    <w:rsid w:val="00C3569E"/>
    <w:rsid w:val="00C358BC"/>
    <w:rsid w:val="00C358FA"/>
    <w:rsid w:val="00C35BE3"/>
    <w:rsid w:val="00C362AA"/>
    <w:rsid w:val="00C3639C"/>
    <w:rsid w:val="00C3654C"/>
    <w:rsid w:val="00C3675C"/>
    <w:rsid w:val="00C36BF5"/>
    <w:rsid w:val="00C36DBC"/>
    <w:rsid w:val="00C3714B"/>
    <w:rsid w:val="00C37212"/>
    <w:rsid w:val="00C372FC"/>
    <w:rsid w:val="00C373C6"/>
    <w:rsid w:val="00C374C9"/>
    <w:rsid w:val="00C376BA"/>
    <w:rsid w:val="00C377B3"/>
    <w:rsid w:val="00C37C3C"/>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898"/>
    <w:rsid w:val="00C41906"/>
    <w:rsid w:val="00C41BAB"/>
    <w:rsid w:val="00C41E3A"/>
    <w:rsid w:val="00C41FF2"/>
    <w:rsid w:val="00C420E6"/>
    <w:rsid w:val="00C42B17"/>
    <w:rsid w:val="00C4304C"/>
    <w:rsid w:val="00C4311C"/>
    <w:rsid w:val="00C43181"/>
    <w:rsid w:val="00C43315"/>
    <w:rsid w:val="00C437B6"/>
    <w:rsid w:val="00C437FE"/>
    <w:rsid w:val="00C43821"/>
    <w:rsid w:val="00C438CF"/>
    <w:rsid w:val="00C43AC7"/>
    <w:rsid w:val="00C43CEC"/>
    <w:rsid w:val="00C43F23"/>
    <w:rsid w:val="00C43F74"/>
    <w:rsid w:val="00C43FCD"/>
    <w:rsid w:val="00C4439E"/>
    <w:rsid w:val="00C44457"/>
    <w:rsid w:val="00C449B2"/>
    <w:rsid w:val="00C44C8D"/>
    <w:rsid w:val="00C44EA3"/>
    <w:rsid w:val="00C44EC0"/>
    <w:rsid w:val="00C44F37"/>
    <w:rsid w:val="00C44F93"/>
    <w:rsid w:val="00C44FFE"/>
    <w:rsid w:val="00C451DA"/>
    <w:rsid w:val="00C452F5"/>
    <w:rsid w:val="00C45304"/>
    <w:rsid w:val="00C454C3"/>
    <w:rsid w:val="00C45782"/>
    <w:rsid w:val="00C45BE6"/>
    <w:rsid w:val="00C45E33"/>
    <w:rsid w:val="00C45E83"/>
    <w:rsid w:val="00C45EE0"/>
    <w:rsid w:val="00C46026"/>
    <w:rsid w:val="00C462CC"/>
    <w:rsid w:val="00C464AA"/>
    <w:rsid w:val="00C46555"/>
    <w:rsid w:val="00C46559"/>
    <w:rsid w:val="00C4667A"/>
    <w:rsid w:val="00C46710"/>
    <w:rsid w:val="00C467BA"/>
    <w:rsid w:val="00C46B15"/>
    <w:rsid w:val="00C46F7D"/>
    <w:rsid w:val="00C472EB"/>
    <w:rsid w:val="00C47520"/>
    <w:rsid w:val="00C4754A"/>
    <w:rsid w:val="00C4756B"/>
    <w:rsid w:val="00C475A3"/>
    <w:rsid w:val="00C476C4"/>
    <w:rsid w:val="00C4798B"/>
    <w:rsid w:val="00C479B5"/>
    <w:rsid w:val="00C47AE3"/>
    <w:rsid w:val="00C47E7F"/>
    <w:rsid w:val="00C47FC5"/>
    <w:rsid w:val="00C50242"/>
    <w:rsid w:val="00C502C7"/>
    <w:rsid w:val="00C5034D"/>
    <w:rsid w:val="00C503DE"/>
    <w:rsid w:val="00C5050E"/>
    <w:rsid w:val="00C506AC"/>
    <w:rsid w:val="00C507D1"/>
    <w:rsid w:val="00C50E99"/>
    <w:rsid w:val="00C50F84"/>
    <w:rsid w:val="00C510A9"/>
    <w:rsid w:val="00C511F2"/>
    <w:rsid w:val="00C51412"/>
    <w:rsid w:val="00C51563"/>
    <w:rsid w:val="00C51614"/>
    <w:rsid w:val="00C517A6"/>
    <w:rsid w:val="00C51826"/>
    <w:rsid w:val="00C519F9"/>
    <w:rsid w:val="00C51A35"/>
    <w:rsid w:val="00C51C00"/>
    <w:rsid w:val="00C51C8E"/>
    <w:rsid w:val="00C52228"/>
    <w:rsid w:val="00C522FC"/>
    <w:rsid w:val="00C52744"/>
    <w:rsid w:val="00C52A36"/>
    <w:rsid w:val="00C52C79"/>
    <w:rsid w:val="00C534CC"/>
    <w:rsid w:val="00C53893"/>
    <w:rsid w:val="00C5395B"/>
    <w:rsid w:val="00C53BF3"/>
    <w:rsid w:val="00C53C25"/>
    <w:rsid w:val="00C53E6E"/>
    <w:rsid w:val="00C53EB3"/>
    <w:rsid w:val="00C5424E"/>
    <w:rsid w:val="00C542D4"/>
    <w:rsid w:val="00C5438A"/>
    <w:rsid w:val="00C54463"/>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5A8"/>
    <w:rsid w:val="00C57AFD"/>
    <w:rsid w:val="00C60070"/>
    <w:rsid w:val="00C6026B"/>
    <w:rsid w:val="00C603D7"/>
    <w:rsid w:val="00C60597"/>
    <w:rsid w:val="00C608FD"/>
    <w:rsid w:val="00C60925"/>
    <w:rsid w:val="00C609A7"/>
    <w:rsid w:val="00C60D65"/>
    <w:rsid w:val="00C60EE4"/>
    <w:rsid w:val="00C611AB"/>
    <w:rsid w:val="00C61421"/>
    <w:rsid w:val="00C61594"/>
    <w:rsid w:val="00C61774"/>
    <w:rsid w:val="00C61826"/>
    <w:rsid w:val="00C6198B"/>
    <w:rsid w:val="00C61C6E"/>
    <w:rsid w:val="00C61E0B"/>
    <w:rsid w:val="00C61F07"/>
    <w:rsid w:val="00C61FC6"/>
    <w:rsid w:val="00C622B2"/>
    <w:rsid w:val="00C623F0"/>
    <w:rsid w:val="00C62480"/>
    <w:rsid w:val="00C62B4D"/>
    <w:rsid w:val="00C62CD5"/>
    <w:rsid w:val="00C62E49"/>
    <w:rsid w:val="00C631C6"/>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6DBF"/>
    <w:rsid w:val="00C6705B"/>
    <w:rsid w:val="00C6712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67A"/>
    <w:rsid w:val="00C70842"/>
    <w:rsid w:val="00C70909"/>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575"/>
    <w:rsid w:val="00C8476A"/>
    <w:rsid w:val="00C848F2"/>
    <w:rsid w:val="00C848FF"/>
    <w:rsid w:val="00C84A2A"/>
    <w:rsid w:val="00C851D2"/>
    <w:rsid w:val="00C851D7"/>
    <w:rsid w:val="00C854A4"/>
    <w:rsid w:val="00C854C6"/>
    <w:rsid w:val="00C855A2"/>
    <w:rsid w:val="00C857EB"/>
    <w:rsid w:val="00C8596C"/>
    <w:rsid w:val="00C85BDE"/>
    <w:rsid w:val="00C85DF3"/>
    <w:rsid w:val="00C86255"/>
    <w:rsid w:val="00C86365"/>
    <w:rsid w:val="00C8646D"/>
    <w:rsid w:val="00C867D4"/>
    <w:rsid w:val="00C867E0"/>
    <w:rsid w:val="00C868A1"/>
    <w:rsid w:val="00C86993"/>
    <w:rsid w:val="00C86C31"/>
    <w:rsid w:val="00C86CE1"/>
    <w:rsid w:val="00C86ED3"/>
    <w:rsid w:val="00C877AB"/>
    <w:rsid w:val="00C87859"/>
    <w:rsid w:val="00C87B2A"/>
    <w:rsid w:val="00C902C8"/>
    <w:rsid w:val="00C902E2"/>
    <w:rsid w:val="00C90599"/>
    <w:rsid w:val="00C90660"/>
    <w:rsid w:val="00C9079B"/>
    <w:rsid w:val="00C90904"/>
    <w:rsid w:val="00C90C92"/>
    <w:rsid w:val="00C90D51"/>
    <w:rsid w:val="00C91128"/>
    <w:rsid w:val="00C912CF"/>
    <w:rsid w:val="00C91495"/>
    <w:rsid w:val="00C91773"/>
    <w:rsid w:val="00C91796"/>
    <w:rsid w:val="00C91D35"/>
    <w:rsid w:val="00C91DE3"/>
    <w:rsid w:val="00C91E7F"/>
    <w:rsid w:val="00C91E82"/>
    <w:rsid w:val="00C92658"/>
    <w:rsid w:val="00C927A6"/>
    <w:rsid w:val="00C92A2A"/>
    <w:rsid w:val="00C92C7F"/>
    <w:rsid w:val="00C92E96"/>
    <w:rsid w:val="00C93092"/>
    <w:rsid w:val="00C93213"/>
    <w:rsid w:val="00C932AD"/>
    <w:rsid w:val="00C93462"/>
    <w:rsid w:val="00C9369D"/>
    <w:rsid w:val="00C93C5C"/>
    <w:rsid w:val="00C93CEA"/>
    <w:rsid w:val="00C93DE0"/>
    <w:rsid w:val="00C944FA"/>
    <w:rsid w:val="00C945FF"/>
    <w:rsid w:val="00C94700"/>
    <w:rsid w:val="00C947E7"/>
    <w:rsid w:val="00C94940"/>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F1"/>
    <w:rsid w:val="00C97458"/>
    <w:rsid w:val="00C97772"/>
    <w:rsid w:val="00C97872"/>
    <w:rsid w:val="00C97FD4"/>
    <w:rsid w:val="00CA03CC"/>
    <w:rsid w:val="00CA0408"/>
    <w:rsid w:val="00CA0532"/>
    <w:rsid w:val="00CA05FA"/>
    <w:rsid w:val="00CA0AD2"/>
    <w:rsid w:val="00CA0B75"/>
    <w:rsid w:val="00CA0CFE"/>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3E2C"/>
    <w:rsid w:val="00CA3EF0"/>
    <w:rsid w:val="00CA403B"/>
    <w:rsid w:val="00CA4191"/>
    <w:rsid w:val="00CA42BE"/>
    <w:rsid w:val="00CA4429"/>
    <w:rsid w:val="00CA4520"/>
    <w:rsid w:val="00CA47DB"/>
    <w:rsid w:val="00CA4AAC"/>
    <w:rsid w:val="00CA4D5D"/>
    <w:rsid w:val="00CA501D"/>
    <w:rsid w:val="00CA505A"/>
    <w:rsid w:val="00CA54B9"/>
    <w:rsid w:val="00CA5625"/>
    <w:rsid w:val="00CA58AB"/>
    <w:rsid w:val="00CA59DD"/>
    <w:rsid w:val="00CA5B9A"/>
    <w:rsid w:val="00CA5D0D"/>
    <w:rsid w:val="00CA60CF"/>
    <w:rsid w:val="00CA663F"/>
    <w:rsid w:val="00CA6900"/>
    <w:rsid w:val="00CA6A0A"/>
    <w:rsid w:val="00CA6BB1"/>
    <w:rsid w:val="00CA6C8C"/>
    <w:rsid w:val="00CA6E1F"/>
    <w:rsid w:val="00CA6F56"/>
    <w:rsid w:val="00CA714D"/>
    <w:rsid w:val="00CA721D"/>
    <w:rsid w:val="00CA725A"/>
    <w:rsid w:val="00CA7624"/>
    <w:rsid w:val="00CA7911"/>
    <w:rsid w:val="00CA7BBB"/>
    <w:rsid w:val="00CA7DD9"/>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B1E"/>
    <w:rsid w:val="00CB1D04"/>
    <w:rsid w:val="00CB26EC"/>
    <w:rsid w:val="00CB2764"/>
    <w:rsid w:val="00CB27D7"/>
    <w:rsid w:val="00CB2906"/>
    <w:rsid w:val="00CB2B19"/>
    <w:rsid w:val="00CB2B92"/>
    <w:rsid w:val="00CB2D2A"/>
    <w:rsid w:val="00CB31AF"/>
    <w:rsid w:val="00CB32E7"/>
    <w:rsid w:val="00CB36BC"/>
    <w:rsid w:val="00CB3988"/>
    <w:rsid w:val="00CB3A77"/>
    <w:rsid w:val="00CB3B05"/>
    <w:rsid w:val="00CB4183"/>
    <w:rsid w:val="00CB45E1"/>
    <w:rsid w:val="00CB4662"/>
    <w:rsid w:val="00CB48F1"/>
    <w:rsid w:val="00CB4976"/>
    <w:rsid w:val="00CB4ADD"/>
    <w:rsid w:val="00CB4CD3"/>
    <w:rsid w:val="00CB4F73"/>
    <w:rsid w:val="00CB5200"/>
    <w:rsid w:val="00CB57D5"/>
    <w:rsid w:val="00CB59C3"/>
    <w:rsid w:val="00CB5B1E"/>
    <w:rsid w:val="00CB5C2E"/>
    <w:rsid w:val="00CB5C70"/>
    <w:rsid w:val="00CB5D23"/>
    <w:rsid w:val="00CB5E5A"/>
    <w:rsid w:val="00CB6189"/>
    <w:rsid w:val="00CB6408"/>
    <w:rsid w:val="00CB6568"/>
    <w:rsid w:val="00CB663B"/>
    <w:rsid w:val="00CB67D6"/>
    <w:rsid w:val="00CB6FF0"/>
    <w:rsid w:val="00CB7155"/>
    <w:rsid w:val="00CB75F6"/>
    <w:rsid w:val="00CB787A"/>
    <w:rsid w:val="00CB7E3B"/>
    <w:rsid w:val="00CB7E42"/>
    <w:rsid w:val="00CC018E"/>
    <w:rsid w:val="00CC0222"/>
    <w:rsid w:val="00CC02AD"/>
    <w:rsid w:val="00CC0473"/>
    <w:rsid w:val="00CC05EF"/>
    <w:rsid w:val="00CC05F7"/>
    <w:rsid w:val="00CC064C"/>
    <w:rsid w:val="00CC065B"/>
    <w:rsid w:val="00CC0AA0"/>
    <w:rsid w:val="00CC0AAF"/>
    <w:rsid w:val="00CC0AD3"/>
    <w:rsid w:val="00CC0C4A"/>
    <w:rsid w:val="00CC0DE5"/>
    <w:rsid w:val="00CC1149"/>
    <w:rsid w:val="00CC12EF"/>
    <w:rsid w:val="00CC1699"/>
    <w:rsid w:val="00CC171F"/>
    <w:rsid w:val="00CC17F0"/>
    <w:rsid w:val="00CC17F6"/>
    <w:rsid w:val="00CC1853"/>
    <w:rsid w:val="00CC1916"/>
    <w:rsid w:val="00CC1A5C"/>
    <w:rsid w:val="00CC1C81"/>
    <w:rsid w:val="00CC1E24"/>
    <w:rsid w:val="00CC1FAE"/>
    <w:rsid w:val="00CC208C"/>
    <w:rsid w:val="00CC228E"/>
    <w:rsid w:val="00CC233F"/>
    <w:rsid w:val="00CC2780"/>
    <w:rsid w:val="00CC2A61"/>
    <w:rsid w:val="00CC2AD8"/>
    <w:rsid w:val="00CC2BA2"/>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0E7"/>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348"/>
    <w:rsid w:val="00CD0533"/>
    <w:rsid w:val="00CD085F"/>
    <w:rsid w:val="00CD087D"/>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AEF"/>
    <w:rsid w:val="00CD2F31"/>
    <w:rsid w:val="00CD2F7D"/>
    <w:rsid w:val="00CD3204"/>
    <w:rsid w:val="00CD36AB"/>
    <w:rsid w:val="00CD38B8"/>
    <w:rsid w:val="00CD3AE3"/>
    <w:rsid w:val="00CD3D08"/>
    <w:rsid w:val="00CD4047"/>
    <w:rsid w:val="00CD4488"/>
    <w:rsid w:val="00CD467F"/>
    <w:rsid w:val="00CD495F"/>
    <w:rsid w:val="00CD4F91"/>
    <w:rsid w:val="00CD50B0"/>
    <w:rsid w:val="00CD50D0"/>
    <w:rsid w:val="00CD5136"/>
    <w:rsid w:val="00CD5512"/>
    <w:rsid w:val="00CD5E12"/>
    <w:rsid w:val="00CD5F85"/>
    <w:rsid w:val="00CD5FC0"/>
    <w:rsid w:val="00CD5FD3"/>
    <w:rsid w:val="00CD600C"/>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E4"/>
    <w:rsid w:val="00CE065A"/>
    <w:rsid w:val="00CE07AD"/>
    <w:rsid w:val="00CE096C"/>
    <w:rsid w:val="00CE0B80"/>
    <w:rsid w:val="00CE1445"/>
    <w:rsid w:val="00CE14D1"/>
    <w:rsid w:val="00CE171C"/>
    <w:rsid w:val="00CE1ABD"/>
    <w:rsid w:val="00CE1AD2"/>
    <w:rsid w:val="00CE1B69"/>
    <w:rsid w:val="00CE1E3C"/>
    <w:rsid w:val="00CE1FC5"/>
    <w:rsid w:val="00CE21AA"/>
    <w:rsid w:val="00CE26E9"/>
    <w:rsid w:val="00CE288D"/>
    <w:rsid w:val="00CE35CE"/>
    <w:rsid w:val="00CE38BE"/>
    <w:rsid w:val="00CE3DB4"/>
    <w:rsid w:val="00CE4015"/>
    <w:rsid w:val="00CE413B"/>
    <w:rsid w:val="00CE43F9"/>
    <w:rsid w:val="00CE46E5"/>
    <w:rsid w:val="00CE485A"/>
    <w:rsid w:val="00CE4AE4"/>
    <w:rsid w:val="00CE4C3F"/>
    <w:rsid w:val="00CE4D00"/>
    <w:rsid w:val="00CE4FCE"/>
    <w:rsid w:val="00CE5032"/>
    <w:rsid w:val="00CE50FD"/>
    <w:rsid w:val="00CE512A"/>
    <w:rsid w:val="00CE515B"/>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8AE"/>
    <w:rsid w:val="00CE7A62"/>
    <w:rsid w:val="00CE7C11"/>
    <w:rsid w:val="00CE7E62"/>
    <w:rsid w:val="00CE7EEB"/>
    <w:rsid w:val="00CF06D8"/>
    <w:rsid w:val="00CF0782"/>
    <w:rsid w:val="00CF0B4A"/>
    <w:rsid w:val="00CF0CED"/>
    <w:rsid w:val="00CF0E0A"/>
    <w:rsid w:val="00CF0E4F"/>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C60"/>
    <w:rsid w:val="00CF3CF9"/>
    <w:rsid w:val="00CF4247"/>
    <w:rsid w:val="00CF47CC"/>
    <w:rsid w:val="00CF4B74"/>
    <w:rsid w:val="00CF50C5"/>
    <w:rsid w:val="00CF518B"/>
    <w:rsid w:val="00CF5263"/>
    <w:rsid w:val="00CF53F4"/>
    <w:rsid w:val="00CF551E"/>
    <w:rsid w:val="00CF55ED"/>
    <w:rsid w:val="00CF561F"/>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7A"/>
    <w:rsid w:val="00CF7F4C"/>
    <w:rsid w:val="00D001E5"/>
    <w:rsid w:val="00D0032D"/>
    <w:rsid w:val="00D004FA"/>
    <w:rsid w:val="00D00653"/>
    <w:rsid w:val="00D00A58"/>
    <w:rsid w:val="00D00ADB"/>
    <w:rsid w:val="00D00B1C"/>
    <w:rsid w:val="00D00DA5"/>
    <w:rsid w:val="00D00F5B"/>
    <w:rsid w:val="00D010CD"/>
    <w:rsid w:val="00D01515"/>
    <w:rsid w:val="00D0166F"/>
    <w:rsid w:val="00D01710"/>
    <w:rsid w:val="00D01800"/>
    <w:rsid w:val="00D0180D"/>
    <w:rsid w:val="00D01908"/>
    <w:rsid w:val="00D01A88"/>
    <w:rsid w:val="00D01B21"/>
    <w:rsid w:val="00D01BC9"/>
    <w:rsid w:val="00D01CB5"/>
    <w:rsid w:val="00D01E2F"/>
    <w:rsid w:val="00D01F9D"/>
    <w:rsid w:val="00D0212E"/>
    <w:rsid w:val="00D02187"/>
    <w:rsid w:val="00D0269A"/>
    <w:rsid w:val="00D02AAF"/>
    <w:rsid w:val="00D02B0C"/>
    <w:rsid w:val="00D02EB6"/>
    <w:rsid w:val="00D02EEC"/>
    <w:rsid w:val="00D03102"/>
    <w:rsid w:val="00D03129"/>
    <w:rsid w:val="00D032DD"/>
    <w:rsid w:val="00D03645"/>
    <w:rsid w:val="00D03727"/>
    <w:rsid w:val="00D0378A"/>
    <w:rsid w:val="00D041F2"/>
    <w:rsid w:val="00D04494"/>
    <w:rsid w:val="00D044B6"/>
    <w:rsid w:val="00D049C9"/>
    <w:rsid w:val="00D04C45"/>
    <w:rsid w:val="00D04D57"/>
    <w:rsid w:val="00D04FA6"/>
    <w:rsid w:val="00D05132"/>
    <w:rsid w:val="00D05668"/>
    <w:rsid w:val="00D05935"/>
    <w:rsid w:val="00D059CF"/>
    <w:rsid w:val="00D059E0"/>
    <w:rsid w:val="00D059EB"/>
    <w:rsid w:val="00D05A6B"/>
    <w:rsid w:val="00D05EA9"/>
    <w:rsid w:val="00D05F7F"/>
    <w:rsid w:val="00D06001"/>
    <w:rsid w:val="00D0633D"/>
    <w:rsid w:val="00D0642A"/>
    <w:rsid w:val="00D069E4"/>
    <w:rsid w:val="00D06F26"/>
    <w:rsid w:val="00D071F8"/>
    <w:rsid w:val="00D07239"/>
    <w:rsid w:val="00D07245"/>
    <w:rsid w:val="00D07252"/>
    <w:rsid w:val="00D074F4"/>
    <w:rsid w:val="00D077BF"/>
    <w:rsid w:val="00D07A05"/>
    <w:rsid w:val="00D07BAE"/>
    <w:rsid w:val="00D07CE1"/>
    <w:rsid w:val="00D1026A"/>
    <w:rsid w:val="00D1042E"/>
    <w:rsid w:val="00D10549"/>
    <w:rsid w:val="00D106D5"/>
    <w:rsid w:val="00D107CF"/>
    <w:rsid w:val="00D10A18"/>
    <w:rsid w:val="00D10C30"/>
    <w:rsid w:val="00D10C36"/>
    <w:rsid w:val="00D10D3E"/>
    <w:rsid w:val="00D10FF6"/>
    <w:rsid w:val="00D11192"/>
    <w:rsid w:val="00D114D1"/>
    <w:rsid w:val="00D1157B"/>
    <w:rsid w:val="00D115CF"/>
    <w:rsid w:val="00D1178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72"/>
    <w:rsid w:val="00D13983"/>
    <w:rsid w:val="00D13BF4"/>
    <w:rsid w:val="00D13D87"/>
    <w:rsid w:val="00D13F8B"/>
    <w:rsid w:val="00D140C6"/>
    <w:rsid w:val="00D141FB"/>
    <w:rsid w:val="00D14236"/>
    <w:rsid w:val="00D142FD"/>
    <w:rsid w:val="00D14553"/>
    <w:rsid w:val="00D1480E"/>
    <w:rsid w:val="00D14A40"/>
    <w:rsid w:val="00D14B6E"/>
    <w:rsid w:val="00D14DB1"/>
    <w:rsid w:val="00D155C1"/>
    <w:rsid w:val="00D1568E"/>
    <w:rsid w:val="00D1570D"/>
    <w:rsid w:val="00D157DE"/>
    <w:rsid w:val="00D1586B"/>
    <w:rsid w:val="00D15BBD"/>
    <w:rsid w:val="00D15D0E"/>
    <w:rsid w:val="00D15F43"/>
    <w:rsid w:val="00D16082"/>
    <w:rsid w:val="00D16098"/>
    <w:rsid w:val="00D160DB"/>
    <w:rsid w:val="00D1613E"/>
    <w:rsid w:val="00D16228"/>
    <w:rsid w:val="00D1624B"/>
    <w:rsid w:val="00D16485"/>
    <w:rsid w:val="00D164FA"/>
    <w:rsid w:val="00D16A8C"/>
    <w:rsid w:val="00D16E87"/>
    <w:rsid w:val="00D16F11"/>
    <w:rsid w:val="00D170FC"/>
    <w:rsid w:val="00D17137"/>
    <w:rsid w:val="00D175F9"/>
    <w:rsid w:val="00D177E0"/>
    <w:rsid w:val="00D178FC"/>
    <w:rsid w:val="00D17937"/>
    <w:rsid w:val="00D179DD"/>
    <w:rsid w:val="00D2005F"/>
    <w:rsid w:val="00D200EB"/>
    <w:rsid w:val="00D20189"/>
    <w:rsid w:val="00D2064C"/>
    <w:rsid w:val="00D20823"/>
    <w:rsid w:val="00D20B8B"/>
    <w:rsid w:val="00D20C0F"/>
    <w:rsid w:val="00D20C24"/>
    <w:rsid w:val="00D2120B"/>
    <w:rsid w:val="00D2129C"/>
    <w:rsid w:val="00D21401"/>
    <w:rsid w:val="00D2156C"/>
    <w:rsid w:val="00D2162C"/>
    <w:rsid w:val="00D21715"/>
    <w:rsid w:val="00D217DC"/>
    <w:rsid w:val="00D21A3C"/>
    <w:rsid w:val="00D21B8D"/>
    <w:rsid w:val="00D21F27"/>
    <w:rsid w:val="00D21FD3"/>
    <w:rsid w:val="00D220B3"/>
    <w:rsid w:val="00D2226C"/>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3FF2"/>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B4F"/>
    <w:rsid w:val="00D25B5F"/>
    <w:rsid w:val="00D25DEB"/>
    <w:rsid w:val="00D25F43"/>
    <w:rsid w:val="00D25FB2"/>
    <w:rsid w:val="00D26532"/>
    <w:rsid w:val="00D26558"/>
    <w:rsid w:val="00D26716"/>
    <w:rsid w:val="00D26782"/>
    <w:rsid w:val="00D267AC"/>
    <w:rsid w:val="00D2685C"/>
    <w:rsid w:val="00D26A0F"/>
    <w:rsid w:val="00D26A3B"/>
    <w:rsid w:val="00D26CDA"/>
    <w:rsid w:val="00D26F59"/>
    <w:rsid w:val="00D2709B"/>
    <w:rsid w:val="00D270A1"/>
    <w:rsid w:val="00D272D0"/>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613"/>
    <w:rsid w:val="00D31835"/>
    <w:rsid w:val="00D31A02"/>
    <w:rsid w:val="00D31FED"/>
    <w:rsid w:val="00D3201C"/>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4242"/>
    <w:rsid w:val="00D345B5"/>
    <w:rsid w:val="00D3469A"/>
    <w:rsid w:val="00D3482E"/>
    <w:rsid w:val="00D34A0B"/>
    <w:rsid w:val="00D35113"/>
    <w:rsid w:val="00D35181"/>
    <w:rsid w:val="00D351A2"/>
    <w:rsid w:val="00D35294"/>
    <w:rsid w:val="00D354C7"/>
    <w:rsid w:val="00D35501"/>
    <w:rsid w:val="00D357DD"/>
    <w:rsid w:val="00D3590A"/>
    <w:rsid w:val="00D35A37"/>
    <w:rsid w:val="00D35E8E"/>
    <w:rsid w:val="00D36234"/>
    <w:rsid w:val="00D36371"/>
    <w:rsid w:val="00D365B9"/>
    <w:rsid w:val="00D367BF"/>
    <w:rsid w:val="00D36C06"/>
    <w:rsid w:val="00D37242"/>
    <w:rsid w:val="00D372DD"/>
    <w:rsid w:val="00D374ED"/>
    <w:rsid w:val="00D3750A"/>
    <w:rsid w:val="00D3785A"/>
    <w:rsid w:val="00D378E4"/>
    <w:rsid w:val="00D37A12"/>
    <w:rsid w:val="00D37A2D"/>
    <w:rsid w:val="00D37D0C"/>
    <w:rsid w:val="00D37D52"/>
    <w:rsid w:val="00D37DC9"/>
    <w:rsid w:val="00D37DD5"/>
    <w:rsid w:val="00D40439"/>
    <w:rsid w:val="00D40B5C"/>
    <w:rsid w:val="00D411B2"/>
    <w:rsid w:val="00D4131F"/>
    <w:rsid w:val="00D4133A"/>
    <w:rsid w:val="00D41390"/>
    <w:rsid w:val="00D41708"/>
    <w:rsid w:val="00D41B12"/>
    <w:rsid w:val="00D41C59"/>
    <w:rsid w:val="00D41FB5"/>
    <w:rsid w:val="00D420FF"/>
    <w:rsid w:val="00D421ED"/>
    <w:rsid w:val="00D42267"/>
    <w:rsid w:val="00D42321"/>
    <w:rsid w:val="00D42B23"/>
    <w:rsid w:val="00D42B6D"/>
    <w:rsid w:val="00D42DC0"/>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EB"/>
    <w:rsid w:val="00D45365"/>
    <w:rsid w:val="00D455A0"/>
    <w:rsid w:val="00D457DE"/>
    <w:rsid w:val="00D45871"/>
    <w:rsid w:val="00D458FC"/>
    <w:rsid w:val="00D45DF3"/>
    <w:rsid w:val="00D4613F"/>
    <w:rsid w:val="00D46174"/>
    <w:rsid w:val="00D46320"/>
    <w:rsid w:val="00D46331"/>
    <w:rsid w:val="00D4639B"/>
    <w:rsid w:val="00D465A2"/>
    <w:rsid w:val="00D4693F"/>
    <w:rsid w:val="00D47103"/>
    <w:rsid w:val="00D4777A"/>
    <w:rsid w:val="00D47922"/>
    <w:rsid w:val="00D47B1B"/>
    <w:rsid w:val="00D47C90"/>
    <w:rsid w:val="00D47DD0"/>
    <w:rsid w:val="00D47E8D"/>
    <w:rsid w:val="00D47F61"/>
    <w:rsid w:val="00D50080"/>
    <w:rsid w:val="00D50183"/>
    <w:rsid w:val="00D5025B"/>
    <w:rsid w:val="00D506DD"/>
    <w:rsid w:val="00D508A1"/>
    <w:rsid w:val="00D50AD3"/>
    <w:rsid w:val="00D50B5E"/>
    <w:rsid w:val="00D50C15"/>
    <w:rsid w:val="00D50C7D"/>
    <w:rsid w:val="00D50DA0"/>
    <w:rsid w:val="00D50F25"/>
    <w:rsid w:val="00D5101E"/>
    <w:rsid w:val="00D510C3"/>
    <w:rsid w:val="00D5115B"/>
    <w:rsid w:val="00D51311"/>
    <w:rsid w:val="00D5179D"/>
    <w:rsid w:val="00D51822"/>
    <w:rsid w:val="00D51C72"/>
    <w:rsid w:val="00D51C9C"/>
    <w:rsid w:val="00D51D12"/>
    <w:rsid w:val="00D51E6A"/>
    <w:rsid w:val="00D5218A"/>
    <w:rsid w:val="00D525EF"/>
    <w:rsid w:val="00D5260D"/>
    <w:rsid w:val="00D527D9"/>
    <w:rsid w:val="00D52931"/>
    <w:rsid w:val="00D52B1C"/>
    <w:rsid w:val="00D52E01"/>
    <w:rsid w:val="00D52EF3"/>
    <w:rsid w:val="00D5321A"/>
    <w:rsid w:val="00D53228"/>
    <w:rsid w:val="00D535F8"/>
    <w:rsid w:val="00D5362B"/>
    <w:rsid w:val="00D53736"/>
    <w:rsid w:val="00D539E5"/>
    <w:rsid w:val="00D53D15"/>
    <w:rsid w:val="00D542FD"/>
    <w:rsid w:val="00D54850"/>
    <w:rsid w:val="00D5490B"/>
    <w:rsid w:val="00D54B11"/>
    <w:rsid w:val="00D54CD0"/>
    <w:rsid w:val="00D54D07"/>
    <w:rsid w:val="00D54DB9"/>
    <w:rsid w:val="00D54DFF"/>
    <w:rsid w:val="00D54EBD"/>
    <w:rsid w:val="00D54ECB"/>
    <w:rsid w:val="00D55007"/>
    <w:rsid w:val="00D55072"/>
    <w:rsid w:val="00D551B5"/>
    <w:rsid w:val="00D551ED"/>
    <w:rsid w:val="00D553B5"/>
    <w:rsid w:val="00D55422"/>
    <w:rsid w:val="00D55710"/>
    <w:rsid w:val="00D558F9"/>
    <w:rsid w:val="00D55C42"/>
    <w:rsid w:val="00D55DE8"/>
    <w:rsid w:val="00D55FE6"/>
    <w:rsid w:val="00D560FA"/>
    <w:rsid w:val="00D56504"/>
    <w:rsid w:val="00D56A2C"/>
    <w:rsid w:val="00D56B43"/>
    <w:rsid w:val="00D56DB2"/>
    <w:rsid w:val="00D56FEB"/>
    <w:rsid w:val="00D5747F"/>
    <w:rsid w:val="00D57495"/>
    <w:rsid w:val="00D574FA"/>
    <w:rsid w:val="00D5750E"/>
    <w:rsid w:val="00D57808"/>
    <w:rsid w:val="00D57A67"/>
    <w:rsid w:val="00D57D89"/>
    <w:rsid w:val="00D57EBA"/>
    <w:rsid w:val="00D57FDC"/>
    <w:rsid w:val="00D60141"/>
    <w:rsid w:val="00D606D9"/>
    <w:rsid w:val="00D60C21"/>
    <w:rsid w:val="00D60C8D"/>
    <w:rsid w:val="00D60D65"/>
    <w:rsid w:val="00D60E09"/>
    <w:rsid w:val="00D60E0D"/>
    <w:rsid w:val="00D60FB5"/>
    <w:rsid w:val="00D60FD1"/>
    <w:rsid w:val="00D6103E"/>
    <w:rsid w:val="00D611A2"/>
    <w:rsid w:val="00D61200"/>
    <w:rsid w:val="00D61374"/>
    <w:rsid w:val="00D61654"/>
    <w:rsid w:val="00D6168A"/>
    <w:rsid w:val="00D616A5"/>
    <w:rsid w:val="00D61C29"/>
    <w:rsid w:val="00D61CFE"/>
    <w:rsid w:val="00D61ED4"/>
    <w:rsid w:val="00D61EE2"/>
    <w:rsid w:val="00D61EF9"/>
    <w:rsid w:val="00D61FF0"/>
    <w:rsid w:val="00D620BD"/>
    <w:rsid w:val="00D6211D"/>
    <w:rsid w:val="00D6212B"/>
    <w:rsid w:val="00D622C3"/>
    <w:rsid w:val="00D622ED"/>
    <w:rsid w:val="00D62887"/>
    <w:rsid w:val="00D62C97"/>
    <w:rsid w:val="00D62D62"/>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FE"/>
    <w:rsid w:val="00D65058"/>
    <w:rsid w:val="00D6514F"/>
    <w:rsid w:val="00D659B1"/>
    <w:rsid w:val="00D65D51"/>
    <w:rsid w:val="00D65E44"/>
    <w:rsid w:val="00D65F1C"/>
    <w:rsid w:val="00D65F7E"/>
    <w:rsid w:val="00D66217"/>
    <w:rsid w:val="00D66505"/>
    <w:rsid w:val="00D6655A"/>
    <w:rsid w:val="00D6675C"/>
    <w:rsid w:val="00D66E18"/>
    <w:rsid w:val="00D67232"/>
    <w:rsid w:val="00D6734D"/>
    <w:rsid w:val="00D679CF"/>
    <w:rsid w:val="00D679D3"/>
    <w:rsid w:val="00D67A3C"/>
    <w:rsid w:val="00D67FEE"/>
    <w:rsid w:val="00D7004C"/>
    <w:rsid w:val="00D70383"/>
    <w:rsid w:val="00D70583"/>
    <w:rsid w:val="00D70754"/>
    <w:rsid w:val="00D7078F"/>
    <w:rsid w:val="00D70850"/>
    <w:rsid w:val="00D70D4E"/>
    <w:rsid w:val="00D70EDA"/>
    <w:rsid w:val="00D71290"/>
    <w:rsid w:val="00D7160A"/>
    <w:rsid w:val="00D71672"/>
    <w:rsid w:val="00D71CC7"/>
    <w:rsid w:val="00D72146"/>
    <w:rsid w:val="00D72235"/>
    <w:rsid w:val="00D72541"/>
    <w:rsid w:val="00D72605"/>
    <w:rsid w:val="00D726F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3B6"/>
    <w:rsid w:val="00D74C7B"/>
    <w:rsid w:val="00D74D68"/>
    <w:rsid w:val="00D74EC3"/>
    <w:rsid w:val="00D750C2"/>
    <w:rsid w:val="00D751FB"/>
    <w:rsid w:val="00D754D2"/>
    <w:rsid w:val="00D754D6"/>
    <w:rsid w:val="00D75517"/>
    <w:rsid w:val="00D75599"/>
    <w:rsid w:val="00D761AA"/>
    <w:rsid w:val="00D76337"/>
    <w:rsid w:val="00D763EF"/>
    <w:rsid w:val="00D764D0"/>
    <w:rsid w:val="00D76581"/>
    <w:rsid w:val="00D76962"/>
    <w:rsid w:val="00D769FE"/>
    <w:rsid w:val="00D76CE5"/>
    <w:rsid w:val="00D76D5A"/>
    <w:rsid w:val="00D76DC2"/>
    <w:rsid w:val="00D76FAE"/>
    <w:rsid w:val="00D77091"/>
    <w:rsid w:val="00D77131"/>
    <w:rsid w:val="00D774D7"/>
    <w:rsid w:val="00D77509"/>
    <w:rsid w:val="00D7751B"/>
    <w:rsid w:val="00D77790"/>
    <w:rsid w:val="00D777D7"/>
    <w:rsid w:val="00D77ED8"/>
    <w:rsid w:val="00D80031"/>
    <w:rsid w:val="00D80137"/>
    <w:rsid w:val="00D804CA"/>
    <w:rsid w:val="00D8055E"/>
    <w:rsid w:val="00D80755"/>
    <w:rsid w:val="00D80AB8"/>
    <w:rsid w:val="00D80EF8"/>
    <w:rsid w:val="00D811AF"/>
    <w:rsid w:val="00D813A8"/>
    <w:rsid w:val="00D81792"/>
    <w:rsid w:val="00D819B1"/>
    <w:rsid w:val="00D819C1"/>
    <w:rsid w:val="00D81D0B"/>
    <w:rsid w:val="00D81DEF"/>
    <w:rsid w:val="00D81EC3"/>
    <w:rsid w:val="00D821EF"/>
    <w:rsid w:val="00D823FB"/>
    <w:rsid w:val="00D82494"/>
    <w:rsid w:val="00D82D71"/>
    <w:rsid w:val="00D8321F"/>
    <w:rsid w:val="00D8335F"/>
    <w:rsid w:val="00D834C3"/>
    <w:rsid w:val="00D83535"/>
    <w:rsid w:val="00D836A2"/>
    <w:rsid w:val="00D83718"/>
    <w:rsid w:val="00D83805"/>
    <w:rsid w:val="00D839C5"/>
    <w:rsid w:val="00D83AD7"/>
    <w:rsid w:val="00D83AE9"/>
    <w:rsid w:val="00D83DAB"/>
    <w:rsid w:val="00D83E6F"/>
    <w:rsid w:val="00D840C7"/>
    <w:rsid w:val="00D843A6"/>
    <w:rsid w:val="00D8444B"/>
    <w:rsid w:val="00D844AB"/>
    <w:rsid w:val="00D846BA"/>
    <w:rsid w:val="00D84884"/>
    <w:rsid w:val="00D8492F"/>
    <w:rsid w:val="00D849FA"/>
    <w:rsid w:val="00D84D70"/>
    <w:rsid w:val="00D85147"/>
    <w:rsid w:val="00D8517A"/>
    <w:rsid w:val="00D857B8"/>
    <w:rsid w:val="00D858B4"/>
    <w:rsid w:val="00D858DD"/>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815"/>
    <w:rsid w:val="00D90CD3"/>
    <w:rsid w:val="00D90F8A"/>
    <w:rsid w:val="00D910F7"/>
    <w:rsid w:val="00D913D1"/>
    <w:rsid w:val="00D919E6"/>
    <w:rsid w:val="00D91B35"/>
    <w:rsid w:val="00D91BE1"/>
    <w:rsid w:val="00D91DDE"/>
    <w:rsid w:val="00D91EB1"/>
    <w:rsid w:val="00D920F8"/>
    <w:rsid w:val="00D9240E"/>
    <w:rsid w:val="00D925B7"/>
    <w:rsid w:val="00D92891"/>
    <w:rsid w:val="00D92BC1"/>
    <w:rsid w:val="00D92C29"/>
    <w:rsid w:val="00D92C5A"/>
    <w:rsid w:val="00D92CF4"/>
    <w:rsid w:val="00D9311C"/>
    <w:rsid w:val="00D932AB"/>
    <w:rsid w:val="00D9353C"/>
    <w:rsid w:val="00D9369F"/>
    <w:rsid w:val="00D936E2"/>
    <w:rsid w:val="00D9394E"/>
    <w:rsid w:val="00D93AE5"/>
    <w:rsid w:val="00D93BBA"/>
    <w:rsid w:val="00D93BF6"/>
    <w:rsid w:val="00D93E0A"/>
    <w:rsid w:val="00D93E0F"/>
    <w:rsid w:val="00D93EFD"/>
    <w:rsid w:val="00D94217"/>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A0248"/>
    <w:rsid w:val="00DA058E"/>
    <w:rsid w:val="00DA0A7F"/>
    <w:rsid w:val="00DA0D50"/>
    <w:rsid w:val="00DA0D68"/>
    <w:rsid w:val="00DA0D97"/>
    <w:rsid w:val="00DA10D8"/>
    <w:rsid w:val="00DA13B3"/>
    <w:rsid w:val="00DA13DA"/>
    <w:rsid w:val="00DA14A7"/>
    <w:rsid w:val="00DA1C31"/>
    <w:rsid w:val="00DA20BC"/>
    <w:rsid w:val="00DA21C6"/>
    <w:rsid w:val="00DA299B"/>
    <w:rsid w:val="00DA2BF0"/>
    <w:rsid w:val="00DA2E81"/>
    <w:rsid w:val="00DA2ED7"/>
    <w:rsid w:val="00DA2F94"/>
    <w:rsid w:val="00DA3050"/>
    <w:rsid w:val="00DA321A"/>
    <w:rsid w:val="00DA32D6"/>
    <w:rsid w:val="00DA3551"/>
    <w:rsid w:val="00DA35BC"/>
    <w:rsid w:val="00DA35DA"/>
    <w:rsid w:val="00DA367E"/>
    <w:rsid w:val="00DA36D1"/>
    <w:rsid w:val="00DA3B77"/>
    <w:rsid w:val="00DA3B82"/>
    <w:rsid w:val="00DA3E7A"/>
    <w:rsid w:val="00DA3EB1"/>
    <w:rsid w:val="00DA3FEA"/>
    <w:rsid w:val="00DA4184"/>
    <w:rsid w:val="00DA4232"/>
    <w:rsid w:val="00DA430C"/>
    <w:rsid w:val="00DA4313"/>
    <w:rsid w:val="00DA5043"/>
    <w:rsid w:val="00DA506E"/>
    <w:rsid w:val="00DA53FA"/>
    <w:rsid w:val="00DA56C7"/>
    <w:rsid w:val="00DA57C8"/>
    <w:rsid w:val="00DA596F"/>
    <w:rsid w:val="00DA5D7D"/>
    <w:rsid w:val="00DA5D91"/>
    <w:rsid w:val="00DA5ED1"/>
    <w:rsid w:val="00DA613E"/>
    <w:rsid w:val="00DA615D"/>
    <w:rsid w:val="00DA6385"/>
    <w:rsid w:val="00DA64E9"/>
    <w:rsid w:val="00DA6598"/>
    <w:rsid w:val="00DA6662"/>
    <w:rsid w:val="00DA6A57"/>
    <w:rsid w:val="00DA6C0F"/>
    <w:rsid w:val="00DA6C63"/>
    <w:rsid w:val="00DA6CED"/>
    <w:rsid w:val="00DA6E4D"/>
    <w:rsid w:val="00DA6F57"/>
    <w:rsid w:val="00DA702F"/>
    <w:rsid w:val="00DA70D1"/>
    <w:rsid w:val="00DA7458"/>
    <w:rsid w:val="00DA7663"/>
    <w:rsid w:val="00DA76B9"/>
    <w:rsid w:val="00DA776B"/>
    <w:rsid w:val="00DA78A5"/>
    <w:rsid w:val="00DA797F"/>
    <w:rsid w:val="00DA7A2E"/>
    <w:rsid w:val="00DA7F8A"/>
    <w:rsid w:val="00DB0099"/>
    <w:rsid w:val="00DB0176"/>
    <w:rsid w:val="00DB027F"/>
    <w:rsid w:val="00DB0404"/>
    <w:rsid w:val="00DB06C1"/>
    <w:rsid w:val="00DB0B0A"/>
    <w:rsid w:val="00DB1154"/>
    <w:rsid w:val="00DB11B2"/>
    <w:rsid w:val="00DB11F8"/>
    <w:rsid w:val="00DB120F"/>
    <w:rsid w:val="00DB136C"/>
    <w:rsid w:val="00DB138F"/>
    <w:rsid w:val="00DB1447"/>
    <w:rsid w:val="00DB1542"/>
    <w:rsid w:val="00DB15C0"/>
    <w:rsid w:val="00DB1721"/>
    <w:rsid w:val="00DB188E"/>
    <w:rsid w:val="00DB18F8"/>
    <w:rsid w:val="00DB1E4E"/>
    <w:rsid w:val="00DB1F2A"/>
    <w:rsid w:val="00DB1FA7"/>
    <w:rsid w:val="00DB2028"/>
    <w:rsid w:val="00DB21DE"/>
    <w:rsid w:val="00DB297F"/>
    <w:rsid w:val="00DB2A3E"/>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B46"/>
    <w:rsid w:val="00DB4D3E"/>
    <w:rsid w:val="00DB4E0B"/>
    <w:rsid w:val="00DB4EAA"/>
    <w:rsid w:val="00DB50D1"/>
    <w:rsid w:val="00DB51C7"/>
    <w:rsid w:val="00DB51E6"/>
    <w:rsid w:val="00DB54ED"/>
    <w:rsid w:val="00DB580A"/>
    <w:rsid w:val="00DB582E"/>
    <w:rsid w:val="00DB587E"/>
    <w:rsid w:val="00DB5A06"/>
    <w:rsid w:val="00DB5C64"/>
    <w:rsid w:val="00DB5CA6"/>
    <w:rsid w:val="00DB5CB3"/>
    <w:rsid w:val="00DB5FFD"/>
    <w:rsid w:val="00DB6261"/>
    <w:rsid w:val="00DB6495"/>
    <w:rsid w:val="00DB6861"/>
    <w:rsid w:val="00DB6E5A"/>
    <w:rsid w:val="00DB6EFA"/>
    <w:rsid w:val="00DB7805"/>
    <w:rsid w:val="00DB798E"/>
    <w:rsid w:val="00DB7A5B"/>
    <w:rsid w:val="00DB7A96"/>
    <w:rsid w:val="00DB7D5E"/>
    <w:rsid w:val="00DB7E60"/>
    <w:rsid w:val="00DC00AA"/>
    <w:rsid w:val="00DC03A5"/>
    <w:rsid w:val="00DC0904"/>
    <w:rsid w:val="00DC0C00"/>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F1"/>
    <w:rsid w:val="00DC3947"/>
    <w:rsid w:val="00DC3A8C"/>
    <w:rsid w:val="00DC3FF7"/>
    <w:rsid w:val="00DC41A4"/>
    <w:rsid w:val="00DC42EF"/>
    <w:rsid w:val="00DC4636"/>
    <w:rsid w:val="00DC4D1F"/>
    <w:rsid w:val="00DC5672"/>
    <w:rsid w:val="00DC588F"/>
    <w:rsid w:val="00DC58EC"/>
    <w:rsid w:val="00DC5903"/>
    <w:rsid w:val="00DC5AD2"/>
    <w:rsid w:val="00DC5B5D"/>
    <w:rsid w:val="00DC5CE5"/>
    <w:rsid w:val="00DC5DDC"/>
    <w:rsid w:val="00DC5E0E"/>
    <w:rsid w:val="00DC60A2"/>
    <w:rsid w:val="00DC6600"/>
    <w:rsid w:val="00DC6712"/>
    <w:rsid w:val="00DC67BD"/>
    <w:rsid w:val="00DC688C"/>
    <w:rsid w:val="00DC6924"/>
    <w:rsid w:val="00DC6E1C"/>
    <w:rsid w:val="00DC70CF"/>
    <w:rsid w:val="00DC7189"/>
    <w:rsid w:val="00DC71F2"/>
    <w:rsid w:val="00DC72AE"/>
    <w:rsid w:val="00DC75A2"/>
    <w:rsid w:val="00DC7D64"/>
    <w:rsid w:val="00DC7E10"/>
    <w:rsid w:val="00DC7ECE"/>
    <w:rsid w:val="00DC7F3A"/>
    <w:rsid w:val="00DD0674"/>
    <w:rsid w:val="00DD0C5B"/>
    <w:rsid w:val="00DD0D21"/>
    <w:rsid w:val="00DD111C"/>
    <w:rsid w:val="00DD1142"/>
    <w:rsid w:val="00DD11D9"/>
    <w:rsid w:val="00DD153B"/>
    <w:rsid w:val="00DD19A7"/>
    <w:rsid w:val="00DD1BD9"/>
    <w:rsid w:val="00DD2025"/>
    <w:rsid w:val="00DD22EA"/>
    <w:rsid w:val="00DD23A0"/>
    <w:rsid w:val="00DD25B9"/>
    <w:rsid w:val="00DD2A89"/>
    <w:rsid w:val="00DD2B57"/>
    <w:rsid w:val="00DD2B98"/>
    <w:rsid w:val="00DD2F25"/>
    <w:rsid w:val="00DD3275"/>
    <w:rsid w:val="00DD3330"/>
    <w:rsid w:val="00DD3525"/>
    <w:rsid w:val="00DD36B9"/>
    <w:rsid w:val="00DD3756"/>
    <w:rsid w:val="00DD3A28"/>
    <w:rsid w:val="00DD3B3A"/>
    <w:rsid w:val="00DD3BBD"/>
    <w:rsid w:val="00DD3C96"/>
    <w:rsid w:val="00DD3EF5"/>
    <w:rsid w:val="00DD420F"/>
    <w:rsid w:val="00DD441B"/>
    <w:rsid w:val="00DD4541"/>
    <w:rsid w:val="00DD46EF"/>
    <w:rsid w:val="00DD4949"/>
    <w:rsid w:val="00DD4A42"/>
    <w:rsid w:val="00DD4C3A"/>
    <w:rsid w:val="00DD4CE0"/>
    <w:rsid w:val="00DD4D63"/>
    <w:rsid w:val="00DD4F50"/>
    <w:rsid w:val="00DD5023"/>
    <w:rsid w:val="00DD51D0"/>
    <w:rsid w:val="00DD5256"/>
    <w:rsid w:val="00DD53F7"/>
    <w:rsid w:val="00DD53FA"/>
    <w:rsid w:val="00DD555A"/>
    <w:rsid w:val="00DD559B"/>
    <w:rsid w:val="00DD58C5"/>
    <w:rsid w:val="00DD5B38"/>
    <w:rsid w:val="00DD5F05"/>
    <w:rsid w:val="00DD5F42"/>
    <w:rsid w:val="00DD617B"/>
    <w:rsid w:val="00DD6337"/>
    <w:rsid w:val="00DD6404"/>
    <w:rsid w:val="00DD64A4"/>
    <w:rsid w:val="00DD65E2"/>
    <w:rsid w:val="00DD65FD"/>
    <w:rsid w:val="00DD6629"/>
    <w:rsid w:val="00DD669F"/>
    <w:rsid w:val="00DD66A4"/>
    <w:rsid w:val="00DD6718"/>
    <w:rsid w:val="00DD6BBF"/>
    <w:rsid w:val="00DD6C8D"/>
    <w:rsid w:val="00DD6CA4"/>
    <w:rsid w:val="00DD7007"/>
    <w:rsid w:val="00DD7314"/>
    <w:rsid w:val="00DD76E9"/>
    <w:rsid w:val="00DD7785"/>
    <w:rsid w:val="00DD7A59"/>
    <w:rsid w:val="00DD7AF7"/>
    <w:rsid w:val="00DD7B5F"/>
    <w:rsid w:val="00DD7C60"/>
    <w:rsid w:val="00DD7D08"/>
    <w:rsid w:val="00DD7DE9"/>
    <w:rsid w:val="00DD7E5F"/>
    <w:rsid w:val="00DE0C5F"/>
    <w:rsid w:val="00DE0E59"/>
    <w:rsid w:val="00DE0F6C"/>
    <w:rsid w:val="00DE1249"/>
    <w:rsid w:val="00DE1486"/>
    <w:rsid w:val="00DE15B0"/>
    <w:rsid w:val="00DE16D1"/>
    <w:rsid w:val="00DE171D"/>
    <w:rsid w:val="00DE1A23"/>
    <w:rsid w:val="00DE1E70"/>
    <w:rsid w:val="00DE1EE5"/>
    <w:rsid w:val="00DE1F0B"/>
    <w:rsid w:val="00DE1FD8"/>
    <w:rsid w:val="00DE219B"/>
    <w:rsid w:val="00DE2516"/>
    <w:rsid w:val="00DE2F08"/>
    <w:rsid w:val="00DE2FE5"/>
    <w:rsid w:val="00DE3165"/>
    <w:rsid w:val="00DE31A7"/>
    <w:rsid w:val="00DE3262"/>
    <w:rsid w:val="00DE34DC"/>
    <w:rsid w:val="00DE3530"/>
    <w:rsid w:val="00DE3724"/>
    <w:rsid w:val="00DE38B6"/>
    <w:rsid w:val="00DE3CD8"/>
    <w:rsid w:val="00DE4289"/>
    <w:rsid w:val="00DE43A0"/>
    <w:rsid w:val="00DE46A0"/>
    <w:rsid w:val="00DE4766"/>
    <w:rsid w:val="00DE483D"/>
    <w:rsid w:val="00DE4902"/>
    <w:rsid w:val="00DE4936"/>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A9D"/>
    <w:rsid w:val="00DE7B6A"/>
    <w:rsid w:val="00DE7C00"/>
    <w:rsid w:val="00DE7DA2"/>
    <w:rsid w:val="00DE7EC4"/>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20A6"/>
    <w:rsid w:val="00DF20A7"/>
    <w:rsid w:val="00DF2224"/>
    <w:rsid w:val="00DF2362"/>
    <w:rsid w:val="00DF2496"/>
    <w:rsid w:val="00DF24C4"/>
    <w:rsid w:val="00DF2772"/>
    <w:rsid w:val="00DF2DE3"/>
    <w:rsid w:val="00DF2F94"/>
    <w:rsid w:val="00DF32F3"/>
    <w:rsid w:val="00DF33FA"/>
    <w:rsid w:val="00DF3B65"/>
    <w:rsid w:val="00DF3C93"/>
    <w:rsid w:val="00DF41DF"/>
    <w:rsid w:val="00DF4402"/>
    <w:rsid w:val="00DF44E3"/>
    <w:rsid w:val="00DF4572"/>
    <w:rsid w:val="00DF45E9"/>
    <w:rsid w:val="00DF4658"/>
    <w:rsid w:val="00DF46FD"/>
    <w:rsid w:val="00DF4748"/>
    <w:rsid w:val="00DF4B2D"/>
    <w:rsid w:val="00DF4F5C"/>
    <w:rsid w:val="00DF5172"/>
    <w:rsid w:val="00DF520C"/>
    <w:rsid w:val="00DF5ABE"/>
    <w:rsid w:val="00DF5BEF"/>
    <w:rsid w:val="00DF5CA3"/>
    <w:rsid w:val="00DF61D1"/>
    <w:rsid w:val="00DF61E0"/>
    <w:rsid w:val="00DF68C4"/>
    <w:rsid w:val="00DF6A9B"/>
    <w:rsid w:val="00DF6B54"/>
    <w:rsid w:val="00DF6BC4"/>
    <w:rsid w:val="00DF6C8B"/>
    <w:rsid w:val="00DF6DCB"/>
    <w:rsid w:val="00DF6F17"/>
    <w:rsid w:val="00DF6FBE"/>
    <w:rsid w:val="00DF75A8"/>
    <w:rsid w:val="00DF7632"/>
    <w:rsid w:val="00DF774D"/>
    <w:rsid w:val="00DF78FA"/>
    <w:rsid w:val="00DF7AF8"/>
    <w:rsid w:val="00DF7BC7"/>
    <w:rsid w:val="00DF7D73"/>
    <w:rsid w:val="00DF7E12"/>
    <w:rsid w:val="00DF7F83"/>
    <w:rsid w:val="00E00059"/>
    <w:rsid w:val="00E000DD"/>
    <w:rsid w:val="00E001E2"/>
    <w:rsid w:val="00E00220"/>
    <w:rsid w:val="00E002F1"/>
    <w:rsid w:val="00E00521"/>
    <w:rsid w:val="00E006B1"/>
    <w:rsid w:val="00E0071D"/>
    <w:rsid w:val="00E0082C"/>
    <w:rsid w:val="00E00929"/>
    <w:rsid w:val="00E00A31"/>
    <w:rsid w:val="00E00B6A"/>
    <w:rsid w:val="00E00EA7"/>
    <w:rsid w:val="00E00F8C"/>
    <w:rsid w:val="00E0120D"/>
    <w:rsid w:val="00E012E1"/>
    <w:rsid w:val="00E013F5"/>
    <w:rsid w:val="00E01420"/>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2D"/>
    <w:rsid w:val="00E04022"/>
    <w:rsid w:val="00E040F5"/>
    <w:rsid w:val="00E04140"/>
    <w:rsid w:val="00E044BB"/>
    <w:rsid w:val="00E044F1"/>
    <w:rsid w:val="00E04824"/>
    <w:rsid w:val="00E04A49"/>
    <w:rsid w:val="00E04C49"/>
    <w:rsid w:val="00E04DA3"/>
    <w:rsid w:val="00E04F1C"/>
    <w:rsid w:val="00E05737"/>
    <w:rsid w:val="00E05CD2"/>
    <w:rsid w:val="00E05E3A"/>
    <w:rsid w:val="00E06245"/>
    <w:rsid w:val="00E063E7"/>
    <w:rsid w:val="00E06CA3"/>
    <w:rsid w:val="00E07173"/>
    <w:rsid w:val="00E0728F"/>
    <w:rsid w:val="00E07380"/>
    <w:rsid w:val="00E0739F"/>
    <w:rsid w:val="00E07475"/>
    <w:rsid w:val="00E074AC"/>
    <w:rsid w:val="00E0755C"/>
    <w:rsid w:val="00E0776C"/>
    <w:rsid w:val="00E07CA1"/>
    <w:rsid w:val="00E07D6A"/>
    <w:rsid w:val="00E07FC7"/>
    <w:rsid w:val="00E10070"/>
    <w:rsid w:val="00E100A8"/>
    <w:rsid w:val="00E109D6"/>
    <w:rsid w:val="00E10BFA"/>
    <w:rsid w:val="00E10DBB"/>
    <w:rsid w:val="00E10F5E"/>
    <w:rsid w:val="00E10FD9"/>
    <w:rsid w:val="00E11627"/>
    <w:rsid w:val="00E1172B"/>
    <w:rsid w:val="00E117A0"/>
    <w:rsid w:val="00E12090"/>
    <w:rsid w:val="00E120E0"/>
    <w:rsid w:val="00E1223B"/>
    <w:rsid w:val="00E122A4"/>
    <w:rsid w:val="00E12438"/>
    <w:rsid w:val="00E12660"/>
    <w:rsid w:val="00E12880"/>
    <w:rsid w:val="00E12A5E"/>
    <w:rsid w:val="00E12BA0"/>
    <w:rsid w:val="00E12FA2"/>
    <w:rsid w:val="00E131E8"/>
    <w:rsid w:val="00E13226"/>
    <w:rsid w:val="00E133E5"/>
    <w:rsid w:val="00E13485"/>
    <w:rsid w:val="00E1384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754"/>
    <w:rsid w:val="00E159C7"/>
    <w:rsid w:val="00E15F2D"/>
    <w:rsid w:val="00E16019"/>
    <w:rsid w:val="00E1652F"/>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37E"/>
    <w:rsid w:val="00E2056B"/>
    <w:rsid w:val="00E2074F"/>
    <w:rsid w:val="00E20821"/>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FAE"/>
    <w:rsid w:val="00E22877"/>
    <w:rsid w:val="00E2299F"/>
    <w:rsid w:val="00E22AEF"/>
    <w:rsid w:val="00E22CCD"/>
    <w:rsid w:val="00E22E3C"/>
    <w:rsid w:val="00E22E76"/>
    <w:rsid w:val="00E22E87"/>
    <w:rsid w:val="00E22EB5"/>
    <w:rsid w:val="00E235AC"/>
    <w:rsid w:val="00E23775"/>
    <w:rsid w:val="00E23914"/>
    <w:rsid w:val="00E23976"/>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2E"/>
    <w:rsid w:val="00E26A6D"/>
    <w:rsid w:val="00E26CA9"/>
    <w:rsid w:val="00E26CAF"/>
    <w:rsid w:val="00E26DB6"/>
    <w:rsid w:val="00E26DD1"/>
    <w:rsid w:val="00E2716D"/>
    <w:rsid w:val="00E275C8"/>
    <w:rsid w:val="00E2769B"/>
    <w:rsid w:val="00E276A8"/>
    <w:rsid w:val="00E27829"/>
    <w:rsid w:val="00E27922"/>
    <w:rsid w:val="00E27972"/>
    <w:rsid w:val="00E27BF6"/>
    <w:rsid w:val="00E27D8C"/>
    <w:rsid w:val="00E27E1F"/>
    <w:rsid w:val="00E30191"/>
    <w:rsid w:val="00E3048D"/>
    <w:rsid w:val="00E30559"/>
    <w:rsid w:val="00E308F6"/>
    <w:rsid w:val="00E30B9D"/>
    <w:rsid w:val="00E30FA3"/>
    <w:rsid w:val="00E314C6"/>
    <w:rsid w:val="00E31775"/>
    <w:rsid w:val="00E317AA"/>
    <w:rsid w:val="00E317F7"/>
    <w:rsid w:val="00E31910"/>
    <w:rsid w:val="00E31BE7"/>
    <w:rsid w:val="00E31CB2"/>
    <w:rsid w:val="00E31E76"/>
    <w:rsid w:val="00E32197"/>
    <w:rsid w:val="00E3248D"/>
    <w:rsid w:val="00E32632"/>
    <w:rsid w:val="00E3286E"/>
    <w:rsid w:val="00E32A02"/>
    <w:rsid w:val="00E32B12"/>
    <w:rsid w:val="00E32D62"/>
    <w:rsid w:val="00E32DD6"/>
    <w:rsid w:val="00E32DE2"/>
    <w:rsid w:val="00E331E0"/>
    <w:rsid w:val="00E3320A"/>
    <w:rsid w:val="00E332FD"/>
    <w:rsid w:val="00E3348D"/>
    <w:rsid w:val="00E33816"/>
    <w:rsid w:val="00E339DC"/>
    <w:rsid w:val="00E33A99"/>
    <w:rsid w:val="00E33C40"/>
    <w:rsid w:val="00E33CFC"/>
    <w:rsid w:val="00E33E15"/>
    <w:rsid w:val="00E3449B"/>
    <w:rsid w:val="00E34709"/>
    <w:rsid w:val="00E34710"/>
    <w:rsid w:val="00E34D85"/>
    <w:rsid w:val="00E34D93"/>
    <w:rsid w:val="00E34E42"/>
    <w:rsid w:val="00E3594C"/>
    <w:rsid w:val="00E35C27"/>
    <w:rsid w:val="00E35E1C"/>
    <w:rsid w:val="00E35F3C"/>
    <w:rsid w:val="00E361B8"/>
    <w:rsid w:val="00E364DE"/>
    <w:rsid w:val="00E366A2"/>
    <w:rsid w:val="00E368D2"/>
    <w:rsid w:val="00E36A1B"/>
    <w:rsid w:val="00E36BB6"/>
    <w:rsid w:val="00E36D39"/>
    <w:rsid w:val="00E36F86"/>
    <w:rsid w:val="00E370F2"/>
    <w:rsid w:val="00E37363"/>
    <w:rsid w:val="00E37464"/>
    <w:rsid w:val="00E3757D"/>
    <w:rsid w:val="00E37669"/>
    <w:rsid w:val="00E37BAD"/>
    <w:rsid w:val="00E37E29"/>
    <w:rsid w:val="00E37E9A"/>
    <w:rsid w:val="00E37F8E"/>
    <w:rsid w:val="00E40241"/>
    <w:rsid w:val="00E40437"/>
    <w:rsid w:val="00E40444"/>
    <w:rsid w:val="00E4050E"/>
    <w:rsid w:val="00E406F5"/>
    <w:rsid w:val="00E40906"/>
    <w:rsid w:val="00E4094E"/>
    <w:rsid w:val="00E40C1F"/>
    <w:rsid w:val="00E41013"/>
    <w:rsid w:val="00E41044"/>
    <w:rsid w:val="00E411CF"/>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B95"/>
    <w:rsid w:val="00E43CDA"/>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3122"/>
    <w:rsid w:val="00E532BF"/>
    <w:rsid w:val="00E532D1"/>
    <w:rsid w:val="00E5351B"/>
    <w:rsid w:val="00E53532"/>
    <w:rsid w:val="00E538BA"/>
    <w:rsid w:val="00E53A3A"/>
    <w:rsid w:val="00E53A92"/>
    <w:rsid w:val="00E53C1F"/>
    <w:rsid w:val="00E53E62"/>
    <w:rsid w:val="00E53FA9"/>
    <w:rsid w:val="00E54014"/>
    <w:rsid w:val="00E5414C"/>
    <w:rsid w:val="00E54364"/>
    <w:rsid w:val="00E543ED"/>
    <w:rsid w:val="00E547B3"/>
    <w:rsid w:val="00E54A31"/>
    <w:rsid w:val="00E54AB9"/>
    <w:rsid w:val="00E54C0E"/>
    <w:rsid w:val="00E54F13"/>
    <w:rsid w:val="00E55139"/>
    <w:rsid w:val="00E5564A"/>
    <w:rsid w:val="00E55839"/>
    <w:rsid w:val="00E559F7"/>
    <w:rsid w:val="00E55A29"/>
    <w:rsid w:val="00E55C8C"/>
    <w:rsid w:val="00E55DAA"/>
    <w:rsid w:val="00E55F1F"/>
    <w:rsid w:val="00E56526"/>
    <w:rsid w:val="00E567F4"/>
    <w:rsid w:val="00E5690D"/>
    <w:rsid w:val="00E56938"/>
    <w:rsid w:val="00E56AE4"/>
    <w:rsid w:val="00E56B4F"/>
    <w:rsid w:val="00E56BF2"/>
    <w:rsid w:val="00E56C0E"/>
    <w:rsid w:val="00E56C73"/>
    <w:rsid w:val="00E56D9D"/>
    <w:rsid w:val="00E5733D"/>
    <w:rsid w:val="00E57388"/>
    <w:rsid w:val="00E5792B"/>
    <w:rsid w:val="00E57D95"/>
    <w:rsid w:val="00E60057"/>
    <w:rsid w:val="00E60474"/>
    <w:rsid w:val="00E60A98"/>
    <w:rsid w:val="00E60CF2"/>
    <w:rsid w:val="00E60E93"/>
    <w:rsid w:val="00E61220"/>
    <w:rsid w:val="00E615E4"/>
    <w:rsid w:val="00E6179D"/>
    <w:rsid w:val="00E61C45"/>
    <w:rsid w:val="00E61CC0"/>
    <w:rsid w:val="00E61DD2"/>
    <w:rsid w:val="00E61F18"/>
    <w:rsid w:val="00E61F63"/>
    <w:rsid w:val="00E621A6"/>
    <w:rsid w:val="00E62372"/>
    <w:rsid w:val="00E6277B"/>
    <w:rsid w:val="00E62B7F"/>
    <w:rsid w:val="00E62CB1"/>
    <w:rsid w:val="00E62E49"/>
    <w:rsid w:val="00E62F05"/>
    <w:rsid w:val="00E62F53"/>
    <w:rsid w:val="00E63029"/>
    <w:rsid w:val="00E63138"/>
    <w:rsid w:val="00E63235"/>
    <w:rsid w:val="00E63249"/>
    <w:rsid w:val="00E632AE"/>
    <w:rsid w:val="00E632B9"/>
    <w:rsid w:val="00E63450"/>
    <w:rsid w:val="00E6390D"/>
    <w:rsid w:val="00E63AA0"/>
    <w:rsid w:val="00E63BB4"/>
    <w:rsid w:val="00E63CF0"/>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730"/>
    <w:rsid w:val="00E6588B"/>
    <w:rsid w:val="00E658B8"/>
    <w:rsid w:val="00E658F6"/>
    <w:rsid w:val="00E6596B"/>
    <w:rsid w:val="00E65A1A"/>
    <w:rsid w:val="00E66231"/>
    <w:rsid w:val="00E66319"/>
    <w:rsid w:val="00E66446"/>
    <w:rsid w:val="00E66589"/>
    <w:rsid w:val="00E6675D"/>
    <w:rsid w:val="00E667D4"/>
    <w:rsid w:val="00E668F2"/>
    <w:rsid w:val="00E66A10"/>
    <w:rsid w:val="00E66A84"/>
    <w:rsid w:val="00E66A92"/>
    <w:rsid w:val="00E67101"/>
    <w:rsid w:val="00E671C9"/>
    <w:rsid w:val="00E6743F"/>
    <w:rsid w:val="00E6758E"/>
    <w:rsid w:val="00E677B0"/>
    <w:rsid w:val="00E678B1"/>
    <w:rsid w:val="00E67912"/>
    <w:rsid w:val="00E67BAE"/>
    <w:rsid w:val="00E67D7D"/>
    <w:rsid w:val="00E67E23"/>
    <w:rsid w:val="00E67FF2"/>
    <w:rsid w:val="00E70016"/>
    <w:rsid w:val="00E700CB"/>
    <w:rsid w:val="00E70368"/>
    <w:rsid w:val="00E703FF"/>
    <w:rsid w:val="00E70840"/>
    <w:rsid w:val="00E708CD"/>
    <w:rsid w:val="00E70925"/>
    <w:rsid w:val="00E70973"/>
    <w:rsid w:val="00E709B9"/>
    <w:rsid w:val="00E70B83"/>
    <w:rsid w:val="00E70BC7"/>
    <w:rsid w:val="00E70C70"/>
    <w:rsid w:val="00E70E44"/>
    <w:rsid w:val="00E70F84"/>
    <w:rsid w:val="00E70FBC"/>
    <w:rsid w:val="00E710DE"/>
    <w:rsid w:val="00E71590"/>
    <w:rsid w:val="00E7159B"/>
    <w:rsid w:val="00E7162F"/>
    <w:rsid w:val="00E71650"/>
    <w:rsid w:val="00E7168F"/>
    <w:rsid w:val="00E71836"/>
    <w:rsid w:val="00E7193B"/>
    <w:rsid w:val="00E7197C"/>
    <w:rsid w:val="00E72211"/>
    <w:rsid w:val="00E7229F"/>
    <w:rsid w:val="00E7281E"/>
    <w:rsid w:val="00E72904"/>
    <w:rsid w:val="00E72C01"/>
    <w:rsid w:val="00E72D81"/>
    <w:rsid w:val="00E72E17"/>
    <w:rsid w:val="00E7313A"/>
    <w:rsid w:val="00E73657"/>
    <w:rsid w:val="00E7366A"/>
    <w:rsid w:val="00E73795"/>
    <w:rsid w:val="00E73B9D"/>
    <w:rsid w:val="00E73BBA"/>
    <w:rsid w:val="00E73DDF"/>
    <w:rsid w:val="00E73E67"/>
    <w:rsid w:val="00E741AC"/>
    <w:rsid w:val="00E744F8"/>
    <w:rsid w:val="00E745C1"/>
    <w:rsid w:val="00E74A45"/>
    <w:rsid w:val="00E74ADB"/>
    <w:rsid w:val="00E74BC3"/>
    <w:rsid w:val="00E74C6C"/>
    <w:rsid w:val="00E74D98"/>
    <w:rsid w:val="00E75174"/>
    <w:rsid w:val="00E751FC"/>
    <w:rsid w:val="00E75846"/>
    <w:rsid w:val="00E75AC2"/>
    <w:rsid w:val="00E75B3E"/>
    <w:rsid w:val="00E75C30"/>
    <w:rsid w:val="00E75EBA"/>
    <w:rsid w:val="00E75ECF"/>
    <w:rsid w:val="00E763B4"/>
    <w:rsid w:val="00E764D3"/>
    <w:rsid w:val="00E76626"/>
    <w:rsid w:val="00E76A95"/>
    <w:rsid w:val="00E76F47"/>
    <w:rsid w:val="00E76F50"/>
    <w:rsid w:val="00E77060"/>
    <w:rsid w:val="00E770CC"/>
    <w:rsid w:val="00E77227"/>
    <w:rsid w:val="00E7734C"/>
    <w:rsid w:val="00E7745E"/>
    <w:rsid w:val="00E774E8"/>
    <w:rsid w:val="00E77848"/>
    <w:rsid w:val="00E77A26"/>
    <w:rsid w:val="00E77B67"/>
    <w:rsid w:val="00E77EC2"/>
    <w:rsid w:val="00E80514"/>
    <w:rsid w:val="00E805AF"/>
    <w:rsid w:val="00E80732"/>
    <w:rsid w:val="00E80C8D"/>
    <w:rsid w:val="00E80CCB"/>
    <w:rsid w:val="00E80D83"/>
    <w:rsid w:val="00E80E5B"/>
    <w:rsid w:val="00E80E8D"/>
    <w:rsid w:val="00E80EFD"/>
    <w:rsid w:val="00E81619"/>
    <w:rsid w:val="00E816C5"/>
    <w:rsid w:val="00E8174E"/>
    <w:rsid w:val="00E818F7"/>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3D7D"/>
    <w:rsid w:val="00E84609"/>
    <w:rsid w:val="00E84BCE"/>
    <w:rsid w:val="00E85018"/>
    <w:rsid w:val="00E8519F"/>
    <w:rsid w:val="00E852AF"/>
    <w:rsid w:val="00E852BB"/>
    <w:rsid w:val="00E85303"/>
    <w:rsid w:val="00E85506"/>
    <w:rsid w:val="00E85799"/>
    <w:rsid w:val="00E857FE"/>
    <w:rsid w:val="00E859F3"/>
    <w:rsid w:val="00E85AC7"/>
    <w:rsid w:val="00E85C4B"/>
    <w:rsid w:val="00E85CC3"/>
    <w:rsid w:val="00E85EC6"/>
    <w:rsid w:val="00E85F07"/>
    <w:rsid w:val="00E862F5"/>
    <w:rsid w:val="00E863D8"/>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9015C"/>
    <w:rsid w:val="00E90203"/>
    <w:rsid w:val="00E90230"/>
    <w:rsid w:val="00E90279"/>
    <w:rsid w:val="00E903E2"/>
    <w:rsid w:val="00E90635"/>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54A"/>
    <w:rsid w:val="00E9363B"/>
    <w:rsid w:val="00E93730"/>
    <w:rsid w:val="00E937B9"/>
    <w:rsid w:val="00E93869"/>
    <w:rsid w:val="00E93BA7"/>
    <w:rsid w:val="00E93ED3"/>
    <w:rsid w:val="00E94299"/>
    <w:rsid w:val="00E94529"/>
    <w:rsid w:val="00E94534"/>
    <w:rsid w:val="00E945A2"/>
    <w:rsid w:val="00E94A61"/>
    <w:rsid w:val="00E94B14"/>
    <w:rsid w:val="00E94B8A"/>
    <w:rsid w:val="00E94E74"/>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97F8B"/>
    <w:rsid w:val="00EA0029"/>
    <w:rsid w:val="00EA0123"/>
    <w:rsid w:val="00EA03F4"/>
    <w:rsid w:val="00EA040C"/>
    <w:rsid w:val="00EA061C"/>
    <w:rsid w:val="00EA0813"/>
    <w:rsid w:val="00EA0C02"/>
    <w:rsid w:val="00EA0C5D"/>
    <w:rsid w:val="00EA0D27"/>
    <w:rsid w:val="00EA0DA8"/>
    <w:rsid w:val="00EA0E4A"/>
    <w:rsid w:val="00EA0FB7"/>
    <w:rsid w:val="00EA12B7"/>
    <w:rsid w:val="00EA145A"/>
    <w:rsid w:val="00EA1625"/>
    <w:rsid w:val="00EA17CF"/>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7A1"/>
    <w:rsid w:val="00EA4835"/>
    <w:rsid w:val="00EA48ED"/>
    <w:rsid w:val="00EA4947"/>
    <w:rsid w:val="00EA4CF9"/>
    <w:rsid w:val="00EA4FD1"/>
    <w:rsid w:val="00EA517F"/>
    <w:rsid w:val="00EA51A2"/>
    <w:rsid w:val="00EA53C2"/>
    <w:rsid w:val="00EA5695"/>
    <w:rsid w:val="00EA578F"/>
    <w:rsid w:val="00EA593D"/>
    <w:rsid w:val="00EA5B0A"/>
    <w:rsid w:val="00EA5B9C"/>
    <w:rsid w:val="00EA5C8B"/>
    <w:rsid w:val="00EA6275"/>
    <w:rsid w:val="00EA6282"/>
    <w:rsid w:val="00EA62E6"/>
    <w:rsid w:val="00EA64B4"/>
    <w:rsid w:val="00EA65AD"/>
    <w:rsid w:val="00EA6751"/>
    <w:rsid w:val="00EA6851"/>
    <w:rsid w:val="00EA6BAA"/>
    <w:rsid w:val="00EA6C41"/>
    <w:rsid w:val="00EA6F73"/>
    <w:rsid w:val="00EA7002"/>
    <w:rsid w:val="00EA734F"/>
    <w:rsid w:val="00EA784A"/>
    <w:rsid w:val="00EA793C"/>
    <w:rsid w:val="00EA7AAB"/>
    <w:rsid w:val="00EA7D3E"/>
    <w:rsid w:val="00EA7EDC"/>
    <w:rsid w:val="00EA7FCF"/>
    <w:rsid w:val="00EB0124"/>
    <w:rsid w:val="00EB0459"/>
    <w:rsid w:val="00EB0526"/>
    <w:rsid w:val="00EB0764"/>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2B6"/>
    <w:rsid w:val="00EB2340"/>
    <w:rsid w:val="00EB2758"/>
    <w:rsid w:val="00EB2B48"/>
    <w:rsid w:val="00EB2BF8"/>
    <w:rsid w:val="00EB2CE6"/>
    <w:rsid w:val="00EB2FCA"/>
    <w:rsid w:val="00EB31F9"/>
    <w:rsid w:val="00EB3297"/>
    <w:rsid w:val="00EB33FC"/>
    <w:rsid w:val="00EB3455"/>
    <w:rsid w:val="00EB3906"/>
    <w:rsid w:val="00EB3B0D"/>
    <w:rsid w:val="00EB3B8B"/>
    <w:rsid w:val="00EB3BC1"/>
    <w:rsid w:val="00EB3DBE"/>
    <w:rsid w:val="00EB3E40"/>
    <w:rsid w:val="00EB3F15"/>
    <w:rsid w:val="00EB3F61"/>
    <w:rsid w:val="00EB3FB6"/>
    <w:rsid w:val="00EB415F"/>
    <w:rsid w:val="00EB42B3"/>
    <w:rsid w:val="00EB42FD"/>
    <w:rsid w:val="00EB4398"/>
    <w:rsid w:val="00EB439A"/>
    <w:rsid w:val="00EB4503"/>
    <w:rsid w:val="00EB45E9"/>
    <w:rsid w:val="00EB4935"/>
    <w:rsid w:val="00EB4A49"/>
    <w:rsid w:val="00EB4B60"/>
    <w:rsid w:val="00EB4B87"/>
    <w:rsid w:val="00EB4CFF"/>
    <w:rsid w:val="00EB5145"/>
    <w:rsid w:val="00EB5432"/>
    <w:rsid w:val="00EB5476"/>
    <w:rsid w:val="00EB575B"/>
    <w:rsid w:val="00EB578F"/>
    <w:rsid w:val="00EB57A9"/>
    <w:rsid w:val="00EB57D6"/>
    <w:rsid w:val="00EB59BC"/>
    <w:rsid w:val="00EB5A1D"/>
    <w:rsid w:val="00EB5C66"/>
    <w:rsid w:val="00EB607E"/>
    <w:rsid w:val="00EB630D"/>
    <w:rsid w:val="00EB632A"/>
    <w:rsid w:val="00EB66AA"/>
    <w:rsid w:val="00EB6BEF"/>
    <w:rsid w:val="00EB6DB4"/>
    <w:rsid w:val="00EB70B0"/>
    <w:rsid w:val="00EB7181"/>
    <w:rsid w:val="00EB737B"/>
    <w:rsid w:val="00EB74DA"/>
    <w:rsid w:val="00EB7633"/>
    <w:rsid w:val="00EB7736"/>
    <w:rsid w:val="00EB7A10"/>
    <w:rsid w:val="00EB7CC9"/>
    <w:rsid w:val="00EC03DD"/>
    <w:rsid w:val="00EC05DE"/>
    <w:rsid w:val="00EC0705"/>
    <w:rsid w:val="00EC07FC"/>
    <w:rsid w:val="00EC0CF8"/>
    <w:rsid w:val="00EC0E2E"/>
    <w:rsid w:val="00EC0E9F"/>
    <w:rsid w:val="00EC0FD9"/>
    <w:rsid w:val="00EC0FF4"/>
    <w:rsid w:val="00EC13EC"/>
    <w:rsid w:val="00EC1538"/>
    <w:rsid w:val="00EC153B"/>
    <w:rsid w:val="00EC1B54"/>
    <w:rsid w:val="00EC247D"/>
    <w:rsid w:val="00EC247E"/>
    <w:rsid w:val="00EC2785"/>
    <w:rsid w:val="00EC2ADB"/>
    <w:rsid w:val="00EC2D27"/>
    <w:rsid w:val="00EC2E2D"/>
    <w:rsid w:val="00EC3021"/>
    <w:rsid w:val="00EC31BB"/>
    <w:rsid w:val="00EC327A"/>
    <w:rsid w:val="00EC394C"/>
    <w:rsid w:val="00EC3952"/>
    <w:rsid w:val="00EC3957"/>
    <w:rsid w:val="00EC3DE7"/>
    <w:rsid w:val="00EC3E80"/>
    <w:rsid w:val="00EC40B7"/>
    <w:rsid w:val="00EC4169"/>
    <w:rsid w:val="00EC4273"/>
    <w:rsid w:val="00EC44D9"/>
    <w:rsid w:val="00EC454B"/>
    <w:rsid w:val="00EC462B"/>
    <w:rsid w:val="00EC4723"/>
    <w:rsid w:val="00EC481D"/>
    <w:rsid w:val="00EC4A96"/>
    <w:rsid w:val="00EC51BF"/>
    <w:rsid w:val="00EC525B"/>
    <w:rsid w:val="00EC5422"/>
    <w:rsid w:val="00EC56E0"/>
    <w:rsid w:val="00EC598A"/>
    <w:rsid w:val="00EC6057"/>
    <w:rsid w:val="00EC60E3"/>
    <w:rsid w:val="00EC610A"/>
    <w:rsid w:val="00EC660B"/>
    <w:rsid w:val="00EC67E7"/>
    <w:rsid w:val="00EC6847"/>
    <w:rsid w:val="00EC6AA9"/>
    <w:rsid w:val="00EC72DB"/>
    <w:rsid w:val="00EC7364"/>
    <w:rsid w:val="00EC7419"/>
    <w:rsid w:val="00EC796B"/>
    <w:rsid w:val="00EC7D34"/>
    <w:rsid w:val="00EC7DB6"/>
    <w:rsid w:val="00EC7DBA"/>
    <w:rsid w:val="00ED0196"/>
    <w:rsid w:val="00ED03D2"/>
    <w:rsid w:val="00ED045F"/>
    <w:rsid w:val="00ED049A"/>
    <w:rsid w:val="00ED049C"/>
    <w:rsid w:val="00ED0557"/>
    <w:rsid w:val="00ED0600"/>
    <w:rsid w:val="00ED065C"/>
    <w:rsid w:val="00ED0821"/>
    <w:rsid w:val="00ED0900"/>
    <w:rsid w:val="00ED09F8"/>
    <w:rsid w:val="00ED0A7A"/>
    <w:rsid w:val="00ED0DDB"/>
    <w:rsid w:val="00ED0E7C"/>
    <w:rsid w:val="00ED1118"/>
    <w:rsid w:val="00ED162A"/>
    <w:rsid w:val="00ED162F"/>
    <w:rsid w:val="00ED1697"/>
    <w:rsid w:val="00ED17AE"/>
    <w:rsid w:val="00ED1826"/>
    <w:rsid w:val="00ED1C1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3A9"/>
    <w:rsid w:val="00ED3541"/>
    <w:rsid w:val="00ED37E5"/>
    <w:rsid w:val="00ED3AE5"/>
    <w:rsid w:val="00ED3E68"/>
    <w:rsid w:val="00ED3E8F"/>
    <w:rsid w:val="00ED402F"/>
    <w:rsid w:val="00ED4092"/>
    <w:rsid w:val="00ED40FF"/>
    <w:rsid w:val="00ED47A7"/>
    <w:rsid w:val="00ED4A5F"/>
    <w:rsid w:val="00ED4D5E"/>
    <w:rsid w:val="00ED4F07"/>
    <w:rsid w:val="00ED4FB1"/>
    <w:rsid w:val="00ED504E"/>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A45"/>
    <w:rsid w:val="00ED6CD6"/>
    <w:rsid w:val="00ED6E8C"/>
    <w:rsid w:val="00ED6EE4"/>
    <w:rsid w:val="00ED6F48"/>
    <w:rsid w:val="00ED7048"/>
    <w:rsid w:val="00ED70F7"/>
    <w:rsid w:val="00ED7145"/>
    <w:rsid w:val="00ED71C5"/>
    <w:rsid w:val="00ED72D2"/>
    <w:rsid w:val="00ED7366"/>
    <w:rsid w:val="00ED7589"/>
    <w:rsid w:val="00ED7CD1"/>
    <w:rsid w:val="00EE0C6A"/>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7D3"/>
    <w:rsid w:val="00EE2901"/>
    <w:rsid w:val="00EE2903"/>
    <w:rsid w:val="00EE3045"/>
    <w:rsid w:val="00EE3238"/>
    <w:rsid w:val="00EE3251"/>
    <w:rsid w:val="00EE3421"/>
    <w:rsid w:val="00EE3527"/>
    <w:rsid w:val="00EE39ED"/>
    <w:rsid w:val="00EE3A38"/>
    <w:rsid w:val="00EE3A5D"/>
    <w:rsid w:val="00EE3C42"/>
    <w:rsid w:val="00EE3C50"/>
    <w:rsid w:val="00EE3D4F"/>
    <w:rsid w:val="00EE4087"/>
    <w:rsid w:val="00EE41C0"/>
    <w:rsid w:val="00EE4B01"/>
    <w:rsid w:val="00EE4D71"/>
    <w:rsid w:val="00EE4DEF"/>
    <w:rsid w:val="00EE5264"/>
    <w:rsid w:val="00EE5300"/>
    <w:rsid w:val="00EE534D"/>
    <w:rsid w:val="00EE547C"/>
    <w:rsid w:val="00EE5560"/>
    <w:rsid w:val="00EE56EB"/>
    <w:rsid w:val="00EE5A7B"/>
    <w:rsid w:val="00EE5CAA"/>
    <w:rsid w:val="00EE5E9C"/>
    <w:rsid w:val="00EE5FE8"/>
    <w:rsid w:val="00EE629B"/>
    <w:rsid w:val="00EE686B"/>
    <w:rsid w:val="00EE6B03"/>
    <w:rsid w:val="00EE6F1E"/>
    <w:rsid w:val="00EE7164"/>
    <w:rsid w:val="00EE7442"/>
    <w:rsid w:val="00EE7618"/>
    <w:rsid w:val="00EE7814"/>
    <w:rsid w:val="00EE78AA"/>
    <w:rsid w:val="00EE79F3"/>
    <w:rsid w:val="00EE7B61"/>
    <w:rsid w:val="00EF0018"/>
    <w:rsid w:val="00EF01E8"/>
    <w:rsid w:val="00EF0348"/>
    <w:rsid w:val="00EF05D3"/>
    <w:rsid w:val="00EF0666"/>
    <w:rsid w:val="00EF0D34"/>
    <w:rsid w:val="00EF0FA8"/>
    <w:rsid w:val="00EF11D3"/>
    <w:rsid w:val="00EF13CF"/>
    <w:rsid w:val="00EF13D0"/>
    <w:rsid w:val="00EF169A"/>
    <w:rsid w:val="00EF182B"/>
    <w:rsid w:val="00EF1A47"/>
    <w:rsid w:val="00EF1F9C"/>
    <w:rsid w:val="00EF21DE"/>
    <w:rsid w:val="00EF2289"/>
    <w:rsid w:val="00EF22F7"/>
    <w:rsid w:val="00EF233B"/>
    <w:rsid w:val="00EF2562"/>
    <w:rsid w:val="00EF29A7"/>
    <w:rsid w:val="00EF2B73"/>
    <w:rsid w:val="00EF2C27"/>
    <w:rsid w:val="00EF2CAE"/>
    <w:rsid w:val="00EF2E44"/>
    <w:rsid w:val="00EF3469"/>
    <w:rsid w:val="00EF34C1"/>
    <w:rsid w:val="00EF3793"/>
    <w:rsid w:val="00EF391D"/>
    <w:rsid w:val="00EF3AFC"/>
    <w:rsid w:val="00EF3D3E"/>
    <w:rsid w:val="00EF42D3"/>
    <w:rsid w:val="00EF4366"/>
    <w:rsid w:val="00EF4426"/>
    <w:rsid w:val="00EF47B8"/>
    <w:rsid w:val="00EF4CD6"/>
    <w:rsid w:val="00EF4E88"/>
    <w:rsid w:val="00EF4F4B"/>
    <w:rsid w:val="00EF54CB"/>
    <w:rsid w:val="00EF552C"/>
    <w:rsid w:val="00EF55A0"/>
    <w:rsid w:val="00EF58D1"/>
    <w:rsid w:val="00EF58D8"/>
    <w:rsid w:val="00EF5DC2"/>
    <w:rsid w:val="00EF5F9C"/>
    <w:rsid w:val="00EF5FC0"/>
    <w:rsid w:val="00EF63D1"/>
    <w:rsid w:val="00EF63D8"/>
    <w:rsid w:val="00EF64AA"/>
    <w:rsid w:val="00EF6513"/>
    <w:rsid w:val="00EF6666"/>
    <w:rsid w:val="00EF6683"/>
    <w:rsid w:val="00EF6880"/>
    <w:rsid w:val="00EF68F3"/>
    <w:rsid w:val="00EF6ADE"/>
    <w:rsid w:val="00EF6B36"/>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04"/>
    <w:rsid w:val="00F00EDF"/>
    <w:rsid w:val="00F0105C"/>
    <w:rsid w:val="00F011D0"/>
    <w:rsid w:val="00F01704"/>
    <w:rsid w:val="00F017BF"/>
    <w:rsid w:val="00F018A2"/>
    <w:rsid w:val="00F01A80"/>
    <w:rsid w:val="00F01CD3"/>
    <w:rsid w:val="00F01D7C"/>
    <w:rsid w:val="00F01E69"/>
    <w:rsid w:val="00F01E8B"/>
    <w:rsid w:val="00F01E99"/>
    <w:rsid w:val="00F021D1"/>
    <w:rsid w:val="00F023DD"/>
    <w:rsid w:val="00F02417"/>
    <w:rsid w:val="00F0261F"/>
    <w:rsid w:val="00F02683"/>
    <w:rsid w:val="00F02785"/>
    <w:rsid w:val="00F027BA"/>
    <w:rsid w:val="00F0293B"/>
    <w:rsid w:val="00F0297A"/>
    <w:rsid w:val="00F02B22"/>
    <w:rsid w:val="00F02D93"/>
    <w:rsid w:val="00F02DAA"/>
    <w:rsid w:val="00F0325B"/>
    <w:rsid w:val="00F0340D"/>
    <w:rsid w:val="00F034D9"/>
    <w:rsid w:val="00F034F3"/>
    <w:rsid w:val="00F038C1"/>
    <w:rsid w:val="00F03D0E"/>
    <w:rsid w:val="00F03E79"/>
    <w:rsid w:val="00F03E85"/>
    <w:rsid w:val="00F03EE2"/>
    <w:rsid w:val="00F03F3E"/>
    <w:rsid w:val="00F0418F"/>
    <w:rsid w:val="00F04A1A"/>
    <w:rsid w:val="00F04DD7"/>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153"/>
    <w:rsid w:val="00F112FD"/>
    <w:rsid w:val="00F11319"/>
    <w:rsid w:val="00F1146E"/>
    <w:rsid w:val="00F116A0"/>
    <w:rsid w:val="00F1174C"/>
    <w:rsid w:val="00F11849"/>
    <w:rsid w:val="00F11C21"/>
    <w:rsid w:val="00F11E63"/>
    <w:rsid w:val="00F12021"/>
    <w:rsid w:val="00F120E0"/>
    <w:rsid w:val="00F12A63"/>
    <w:rsid w:val="00F12EB8"/>
    <w:rsid w:val="00F13343"/>
    <w:rsid w:val="00F133A1"/>
    <w:rsid w:val="00F13515"/>
    <w:rsid w:val="00F13530"/>
    <w:rsid w:val="00F1390A"/>
    <w:rsid w:val="00F139B8"/>
    <w:rsid w:val="00F139C1"/>
    <w:rsid w:val="00F13A07"/>
    <w:rsid w:val="00F13C82"/>
    <w:rsid w:val="00F13D7A"/>
    <w:rsid w:val="00F13ECD"/>
    <w:rsid w:val="00F13F78"/>
    <w:rsid w:val="00F1433C"/>
    <w:rsid w:val="00F14353"/>
    <w:rsid w:val="00F14417"/>
    <w:rsid w:val="00F14470"/>
    <w:rsid w:val="00F14482"/>
    <w:rsid w:val="00F144E7"/>
    <w:rsid w:val="00F14697"/>
    <w:rsid w:val="00F14AE2"/>
    <w:rsid w:val="00F14E34"/>
    <w:rsid w:val="00F151B8"/>
    <w:rsid w:val="00F15231"/>
    <w:rsid w:val="00F155CE"/>
    <w:rsid w:val="00F1577C"/>
    <w:rsid w:val="00F157A1"/>
    <w:rsid w:val="00F157B1"/>
    <w:rsid w:val="00F15931"/>
    <w:rsid w:val="00F15AB5"/>
    <w:rsid w:val="00F164EB"/>
    <w:rsid w:val="00F16732"/>
    <w:rsid w:val="00F16AB3"/>
    <w:rsid w:val="00F16BF2"/>
    <w:rsid w:val="00F16E87"/>
    <w:rsid w:val="00F172C2"/>
    <w:rsid w:val="00F1738A"/>
    <w:rsid w:val="00F173ED"/>
    <w:rsid w:val="00F174C4"/>
    <w:rsid w:val="00F17964"/>
    <w:rsid w:val="00F17BF3"/>
    <w:rsid w:val="00F17DDF"/>
    <w:rsid w:val="00F17EAE"/>
    <w:rsid w:val="00F20042"/>
    <w:rsid w:val="00F202EA"/>
    <w:rsid w:val="00F20ACF"/>
    <w:rsid w:val="00F20EEE"/>
    <w:rsid w:val="00F21131"/>
    <w:rsid w:val="00F212B9"/>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37C"/>
    <w:rsid w:val="00F2346E"/>
    <w:rsid w:val="00F2357D"/>
    <w:rsid w:val="00F23704"/>
    <w:rsid w:val="00F241B7"/>
    <w:rsid w:val="00F2438E"/>
    <w:rsid w:val="00F24682"/>
    <w:rsid w:val="00F2474C"/>
    <w:rsid w:val="00F24788"/>
    <w:rsid w:val="00F247A1"/>
    <w:rsid w:val="00F24D4B"/>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6F7A"/>
    <w:rsid w:val="00F270EF"/>
    <w:rsid w:val="00F2711A"/>
    <w:rsid w:val="00F27164"/>
    <w:rsid w:val="00F2737D"/>
    <w:rsid w:val="00F27485"/>
    <w:rsid w:val="00F275A4"/>
    <w:rsid w:val="00F27606"/>
    <w:rsid w:val="00F27787"/>
    <w:rsid w:val="00F27B4A"/>
    <w:rsid w:val="00F27C34"/>
    <w:rsid w:val="00F27E2B"/>
    <w:rsid w:val="00F27E46"/>
    <w:rsid w:val="00F27E55"/>
    <w:rsid w:val="00F27ED7"/>
    <w:rsid w:val="00F300B4"/>
    <w:rsid w:val="00F301C2"/>
    <w:rsid w:val="00F30248"/>
    <w:rsid w:val="00F302E1"/>
    <w:rsid w:val="00F304C9"/>
    <w:rsid w:val="00F306FB"/>
    <w:rsid w:val="00F307D8"/>
    <w:rsid w:val="00F30B26"/>
    <w:rsid w:val="00F30CF3"/>
    <w:rsid w:val="00F30EC5"/>
    <w:rsid w:val="00F30F15"/>
    <w:rsid w:val="00F30FAA"/>
    <w:rsid w:val="00F31644"/>
    <w:rsid w:val="00F316A4"/>
    <w:rsid w:val="00F31875"/>
    <w:rsid w:val="00F31A05"/>
    <w:rsid w:val="00F31A84"/>
    <w:rsid w:val="00F31B22"/>
    <w:rsid w:val="00F31B49"/>
    <w:rsid w:val="00F31C10"/>
    <w:rsid w:val="00F31CD4"/>
    <w:rsid w:val="00F31EF8"/>
    <w:rsid w:val="00F32045"/>
    <w:rsid w:val="00F3254F"/>
    <w:rsid w:val="00F325F7"/>
    <w:rsid w:val="00F326E6"/>
    <w:rsid w:val="00F328E3"/>
    <w:rsid w:val="00F32C0F"/>
    <w:rsid w:val="00F32DA4"/>
    <w:rsid w:val="00F32F02"/>
    <w:rsid w:val="00F32F56"/>
    <w:rsid w:val="00F331F3"/>
    <w:rsid w:val="00F33212"/>
    <w:rsid w:val="00F332C4"/>
    <w:rsid w:val="00F333F6"/>
    <w:rsid w:val="00F33621"/>
    <w:rsid w:val="00F33A65"/>
    <w:rsid w:val="00F33D4F"/>
    <w:rsid w:val="00F33F5B"/>
    <w:rsid w:val="00F3404F"/>
    <w:rsid w:val="00F34262"/>
    <w:rsid w:val="00F34447"/>
    <w:rsid w:val="00F348D6"/>
    <w:rsid w:val="00F3496D"/>
    <w:rsid w:val="00F34CD6"/>
    <w:rsid w:val="00F35790"/>
    <w:rsid w:val="00F357F7"/>
    <w:rsid w:val="00F35873"/>
    <w:rsid w:val="00F35920"/>
    <w:rsid w:val="00F35A29"/>
    <w:rsid w:val="00F360D8"/>
    <w:rsid w:val="00F36460"/>
    <w:rsid w:val="00F365CB"/>
    <w:rsid w:val="00F365E6"/>
    <w:rsid w:val="00F366A5"/>
    <w:rsid w:val="00F36ACC"/>
    <w:rsid w:val="00F36C5F"/>
    <w:rsid w:val="00F37259"/>
    <w:rsid w:val="00F37368"/>
    <w:rsid w:val="00F373E1"/>
    <w:rsid w:val="00F373E6"/>
    <w:rsid w:val="00F3749E"/>
    <w:rsid w:val="00F3756B"/>
    <w:rsid w:val="00F377E0"/>
    <w:rsid w:val="00F3790C"/>
    <w:rsid w:val="00F37EB7"/>
    <w:rsid w:val="00F40464"/>
    <w:rsid w:val="00F404B8"/>
    <w:rsid w:val="00F405A4"/>
    <w:rsid w:val="00F406D9"/>
    <w:rsid w:val="00F40A69"/>
    <w:rsid w:val="00F40F6B"/>
    <w:rsid w:val="00F4142F"/>
    <w:rsid w:val="00F414CE"/>
    <w:rsid w:val="00F419BA"/>
    <w:rsid w:val="00F41CEC"/>
    <w:rsid w:val="00F41E54"/>
    <w:rsid w:val="00F41E6F"/>
    <w:rsid w:val="00F41E9D"/>
    <w:rsid w:val="00F41F05"/>
    <w:rsid w:val="00F421B4"/>
    <w:rsid w:val="00F422FF"/>
    <w:rsid w:val="00F42333"/>
    <w:rsid w:val="00F42A4D"/>
    <w:rsid w:val="00F42A63"/>
    <w:rsid w:val="00F42EBF"/>
    <w:rsid w:val="00F4306A"/>
    <w:rsid w:val="00F4331A"/>
    <w:rsid w:val="00F4333B"/>
    <w:rsid w:val="00F4334D"/>
    <w:rsid w:val="00F433BD"/>
    <w:rsid w:val="00F4343A"/>
    <w:rsid w:val="00F43580"/>
    <w:rsid w:val="00F437F4"/>
    <w:rsid w:val="00F4384D"/>
    <w:rsid w:val="00F43D52"/>
    <w:rsid w:val="00F43DD0"/>
    <w:rsid w:val="00F43DFF"/>
    <w:rsid w:val="00F43F5F"/>
    <w:rsid w:val="00F44119"/>
    <w:rsid w:val="00F444D7"/>
    <w:rsid w:val="00F44683"/>
    <w:rsid w:val="00F44894"/>
    <w:rsid w:val="00F44C09"/>
    <w:rsid w:val="00F44D7F"/>
    <w:rsid w:val="00F44E59"/>
    <w:rsid w:val="00F44EC5"/>
    <w:rsid w:val="00F44FFA"/>
    <w:rsid w:val="00F45098"/>
    <w:rsid w:val="00F452A2"/>
    <w:rsid w:val="00F452A4"/>
    <w:rsid w:val="00F4595D"/>
    <w:rsid w:val="00F45A01"/>
    <w:rsid w:val="00F45B34"/>
    <w:rsid w:val="00F45BEF"/>
    <w:rsid w:val="00F45D6B"/>
    <w:rsid w:val="00F45DEB"/>
    <w:rsid w:val="00F45E59"/>
    <w:rsid w:val="00F45EA0"/>
    <w:rsid w:val="00F467FB"/>
    <w:rsid w:val="00F468F8"/>
    <w:rsid w:val="00F46BAB"/>
    <w:rsid w:val="00F46C3C"/>
    <w:rsid w:val="00F46FC2"/>
    <w:rsid w:val="00F47018"/>
    <w:rsid w:val="00F470FF"/>
    <w:rsid w:val="00F471B1"/>
    <w:rsid w:val="00F47498"/>
    <w:rsid w:val="00F474BE"/>
    <w:rsid w:val="00F475AB"/>
    <w:rsid w:val="00F47B9B"/>
    <w:rsid w:val="00F47DBB"/>
    <w:rsid w:val="00F50125"/>
    <w:rsid w:val="00F50287"/>
    <w:rsid w:val="00F50391"/>
    <w:rsid w:val="00F50588"/>
    <w:rsid w:val="00F50978"/>
    <w:rsid w:val="00F50A8F"/>
    <w:rsid w:val="00F50BAF"/>
    <w:rsid w:val="00F50BD1"/>
    <w:rsid w:val="00F50BE1"/>
    <w:rsid w:val="00F50C69"/>
    <w:rsid w:val="00F50FB8"/>
    <w:rsid w:val="00F511DD"/>
    <w:rsid w:val="00F51268"/>
    <w:rsid w:val="00F512B2"/>
    <w:rsid w:val="00F5186D"/>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B4"/>
    <w:rsid w:val="00F53150"/>
    <w:rsid w:val="00F53152"/>
    <w:rsid w:val="00F535ED"/>
    <w:rsid w:val="00F53AF0"/>
    <w:rsid w:val="00F53BF4"/>
    <w:rsid w:val="00F53DC8"/>
    <w:rsid w:val="00F53FE0"/>
    <w:rsid w:val="00F54180"/>
    <w:rsid w:val="00F54266"/>
    <w:rsid w:val="00F54F53"/>
    <w:rsid w:val="00F55043"/>
    <w:rsid w:val="00F5567A"/>
    <w:rsid w:val="00F55E9D"/>
    <w:rsid w:val="00F560E6"/>
    <w:rsid w:val="00F560E7"/>
    <w:rsid w:val="00F564D1"/>
    <w:rsid w:val="00F56830"/>
    <w:rsid w:val="00F56A1A"/>
    <w:rsid w:val="00F56BF0"/>
    <w:rsid w:val="00F56DCF"/>
    <w:rsid w:val="00F57034"/>
    <w:rsid w:val="00F572D3"/>
    <w:rsid w:val="00F572DD"/>
    <w:rsid w:val="00F57A75"/>
    <w:rsid w:val="00F57AA5"/>
    <w:rsid w:val="00F57CC6"/>
    <w:rsid w:val="00F605A5"/>
    <w:rsid w:val="00F60BE9"/>
    <w:rsid w:val="00F60D8B"/>
    <w:rsid w:val="00F61089"/>
    <w:rsid w:val="00F612EF"/>
    <w:rsid w:val="00F61322"/>
    <w:rsid w:val="00F61806"/>
    <w:rsid w:val="00F61AFC"/>
    <w:rsid w:val="00F61D4B"/>
    <w:rsid w:val="00F61F26"/>
    <w:rsid w:val="00F61FD8"/>
    <w:rsid w:val="00F626C7"/>
    <w:rsid w:val="00F62990"/>
    <w:rsid w:val="00F62CB4"/>
    <w:rsid w:val="00F62DBF"/>
    <w:rsid w:val="00F62E2D"/>
    <w:rsid w:val="00F62EE6"/>
    <w:rsid w:val="00F632A5"/>
    <w:rsid w:val="00F633CA"/>
    <w:rsid w:val="00F63645"/>
    <w:rsid w:val="00F638B7"/>
    <w:rsid w:val="00F639A1"/>
    <w:rsid w:val="00F639AD"/>
    <w:rsid w:val="00F63A3F"/>
    <w:rsid w:val="00F63D93"/>
    <w:rsid w:val="00F641FC"/>
    <w:rsid w:val="00F64366"/>
    <w:rsid w:val="00F64584"/>
    <w:rsid w:val="00F646C1"/>
    <w:rsid w:val="00F647F7"/>
    <w:rsid w:val="00F64952"/>
    <w:rsid w:val="00F64A72"/>
    <w:rsid w:val="00F64B25"/>
    <w:rsid w:val="00F64C09"/>
    <w:rsid w:val="00F64EDE"/>
    <w:rsid w:val="00F651EC"/>
    <w:rsid w:val="00F654F6"/>
    <w:rsid w:val="00F6583C"/>
    <w:rsid w:val="00F6589A"/>
    <w:rsid w:val="00F65D11"/>
    <w:rsid w:val="00F65F10"/>
    <w:rsid w:val="00F65FED"/>
    <w:rsid w:val="00F6602B"/>
    <w:rsid w:val="00F66498"/>
    <w:rsid w:val="00F66676"/>
    <w:rsid w:val="00F66C0C"/>
    <w:rsid w:val="00F66C3D"/>
    <w:rsid w:val="00F66C6B"/>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B8"/>
    <w:rsid w:val="00F71C7F"/>
    <w:rsid w:val="00F71CA3"/>
    <w:rsid w:val="00F71D40"/>
    <w:rsid w:val="00F7239B"/>
    <w:rsid w:val="00F72584"/>
    <w:rsid w:val="00F72813"/>
    <w:rsid w:val="00F7284A"/>
    <w:rsid w:val="00F7290D"/>
    <w:rsid w:val="00F72A8F"/>
    <w:rsid w:val="00F72AF1"/>
    <w:rsid w:val="00F72B21"/>
    <w:rsid w:val="00F72B6D"/>
    <w:rsid w:val="00F72C4D"/>
    <w:rsid w:val="00F72D3E"/>
    <w:rsid w:val="00F73016"/>
    <w:rsid w:val="00F7302F"/>
    <w:rsid w:val="00F73251"/>
    <w:rsid w:val="00F732EC"/>
    <w:rsid w:val="00F73869"/>
    <w:rsid w:val="00F738A6"/>
    <w:rsid w:val="00F738CD"/>
    <w:rsid w:val="00F73C96"/>
    <w:rsid w:val="00F73D08"/>
    <w:rsid w:val="00F73E1D"/>
    <w:rsid w:val="00F73E97"/>
    <w:rsid w:val="00F74113"/>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C2B"/>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216"/>
    <w:rsid w:val="00F812C8"/>
    <w:rsid w:val="00F8132D"/>
    <w:rsid w:val="00F8174C"/>
    <w:rsid w:val="00F818AE"/>
    <w:rsid w:val="00F81AE3"/>
    <w:rsid w:val="00F81B40"/>
    <w:rsid w:val="00F81BB9"/>
    <w:rsid w:val="00F81C47"/>
    <w:rsid w:val="00F81E3C"/>
    <w:rsid w:val="00F820C4"/>
    <w:rsid w:val="00F822CE"/>
    <w:rsid w:val="00F82462"/>
    <w:rsid w:val="00F825A2"/>
    <w:rsid w:val="00F82AC1"/>
    <w:rsid w:val="00F82CF6"/>
    <w:rsid w:val="00F82DCC"/>
    <w:rsid w:val="00F82F07"/>
    <w:rsid w:val="00F8327B"/>
    <w:rsid w:val="00F836A6"/>
    <w:rsid w:val="00F83829"/>
    <w:rsid w:val="00F83B49"/>
    <w:rsid w:val="00F83E38"/>
    <w:rsid w:val="00F83E5A"/>
    <w:rsid w:val="00F84069"/>
    <w:rsid w:val="00F840C8"/>
    <w:rsid w:val="00F842C8"/>
    <w:rsid w:val="00F843D7"/>
    <w:rsid w:val="00F8449A"/>
    <w:rsid w:val="00F845BD"/>
    <w:rsid w:val="00F84927"/>
    <w:rsid w:val="00F84A43"/>
    <w:rsid w:val="00F84ABD"/>
    <w:rsid w:val="00F84B0C"/>
    <w:rsid w:val="00F84B6A"/>
    <w:rsid w:val="00F84FB9"/>
    <w:rsid w:val="00F85473"/>
    <w:rsid w:val="00F85536"/>
    <w:rsid w:val="00F85639"/>
    <w:rsid w:val="00F8600A"/>
    <w:rsid w:val="00F8629C"/>
    <w:rsid w:val="00F863A0"/>
    <w:rsid w:val="00F864A5"/>
    <w:rsid w:val="00F864EE"/>
    <w:rsid w:val="00F8657A"/>
    <w:rsid w:val="00F8679A"/>
    <w:rsid w:val="00F868B4"/>
    <w:rsid w:val="00F8691F"/>
    <w:rsid w:val="00F86A6F"/>
    <w:rsid w:val="00F86A9C"/>
    <w:rsid w:val="00F86AA1"/>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209"/>
    <w:rsid w:val="00F914F8"/>
    <w:rsid w:val="00F91B56"/>
    <w:rsid w:val="00F92171"/>
    <w:rsid w:val="00F9221F"/>
    <w:rsid w:val="00F922E5"/>
    <w:rsid w:val="00F92624"/>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A2C"/>
    <w:rsid w:val="00F94A44"/>
    <w:rsid w:val="00F94D8D"/>
    <w:rsid w:val="00F950B5"/>
    <w:rsid w:val="00F9513F"/>
    <w:rsid w:val="00F95304"/>
    <w:rsid w:val="00F95862"/>
    <w:rsid w:val="00F95A99"/>
    <w:rsid w:val="00F95D92"/>
    <w:rsid w:val="00F95E99"/>
    <w:rsid w:val="00F9611C"/>
    <w:rsid w:val="00F963B4"/>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105C"/>
    <w:rsid w:val="00FA133A"/>
    <w:rsid w:val="00FA1475"/>
    <w:rsid w:val="00FA148A"/>
    <w:rsid w:val="00FA1896"/>
    <w:rsid w:val="00FA1ABD"/>
    <w:rsid w:val="00FA1B20"/>
    <w:rsid w:val="00FA2514"/>
    <w:rsid w:val="00FA2773"/>
    <w:rsid w:val="00FA27C8"/>
    <w:rsid w:val="00FA2BA2"/>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504"/>
    <w:rsid w:val="00FA6EC3"/>
    <w:rsid w:val="00FA7376"/>
    <w:rsid w:val="00FA743E"/>
    <w:rsid w:val="00FA7490"/>
    <w:rsid w:val="00FA767A"/>
    <w:rsid w:val="00FA7688"/>
    <w:rsid w:val="00FA76C9"/>
    <w:rsid w:val="00FA77EC"/>
    <w:rsid w:val="00FA7862"/>
    <w:rsid w:val="00FA7DAF"/>
    <w:rsid w:val="00FB0082"/>
    <w:rsid w:val="00FB0243"/>
    <w:rsid w:val="00FB056B"/>
    <w:rsid w:val="00FB0653"/>
    <w:rsid w:val="00FB088C"/>
    <w:rsid w:val="00FB0A74"/>
    <w:rsid w:val="00FB125B"/>
    <w:rsid w:val="00FB12E9"/>
    <w:rsid w:val="00FB1438"/>
    <w:rsid w:val="00FB1527"/>
    <w:rsid w:val="00FB1876"/>
    <w:rsid w:val="00FB18C8"/>
    <w:rsid w:val="00FB1909"/>
    <w:rsid w:val="00FB1B16"/>
    <w:rsid w:val="00FB1BB5"/>
    <w:rsid w:val="00FB2215"/>
    <w:rsid w:val="00FB2537"/>
    <w:rsid w:val="00FB25DB"/>
    <w:rsid w:val="00FB2881"/>
    <w:rsid w:val="00FB2893"/>
    <w:rsid w:val="00FB2A45"/>
    <w:rsid w:val="00FB2AD0"/>
    <w:rsid w:val="00FB2B77"/>
    <w:rsid w:val="00FB31A1"/>
    <w:rsid w:val="00FB3353"/>
    <w:rsid w:val="00FB33DC"/>
    <w:rsid w:val="00FB34CD"/>
    <w:rsid w:val="00FB3595"/>
    <w:rsid w:val="00FB35E4"/>
    <w:rsid w:val="00FB37E4"/>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478"/>
    <w:rsid w:val="00FB5528"/>
    <w:rsid w:val="00FB5620"/>
    <w:rsid w:val="00FB58FD"/>
    <w:rsid w:val="00FB5C7E"/>
    <w:rsid w:val="00FB5E99"/>
    <w:rsid w:val="00FB5F5F"/>
    <w:rsid w:val="00FB6165"/>
    <w:rsid w:val="00FB6245"/>
    <w:rsid w:val="00FB6557"/>
    <w:rsid w:val="00FB6635"/>
    <w:rsid w:val="00FB6A5A"/>
    <w:rsid w:val="00FB6B1A"/>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3AB"/>
    <w:rsid w:val="00FC0ABC"/>
    <w:rsid w:val="00FC10A9"/>
    <w:rsid w:val="00FC1160"/>
    <w:rsid w:val="00FC120A"/>
    <w:rsid w:val="00FC1212"/>
    <w:rsid w:val="00FC1589"/>
    <w:rsid w:val="00FC15F3"/>
    <w:rsid w:val="00FC18FA"/>
    <w:rsid w:val="00FC1CF4"/>
    <w:rsid w:val="00FC1D35"/>
    <w:rsid w:val="00FC1D6C"/>
    <w:rsid w:val="00FC1E63"/>
    <w:rsid w:val="00FC223F"/>
    <w:rsid w:val="00FC2664"/>
    <w:rsid w:val="00FC27A5"/>
    <w:rsid w:val="00FC2A6A"/>
    <w:rsid w:val="00FC2CB9"/>
    <w:rsid w:val="00FC2F40"/>
    <w:rsid w:val="00FC305F"/>
    <w:rsid w:val="00FC314E"/>
    <w:rsid w:val="00FC35AD"/>
    <w:rsid w:val="00FC36EC"/>
    <w:rsid w:val="00FC3764"/>
    <w:rsid w:val="00FC3885"/>
    <w:rsid w:val="00FC3A38"/>
    <w:rsid w:val="00FC3C84"/>
    <w:rsid w:val="00FC432B"/>
    <w:rsid w:val="00FC4718"/>
    <w:rsid w:val="00FC4729"/>
    <w:rsid w:val="00FC4A61"/>
    <w:rsid w:val="00FC4A6C"/>
    <w:rsid w:val="00FC4A8C"/>
    <w:rsid w:val="00FC4B95"/>
    <w:rsid w:val="00FC4BB6"/>
    <w:rsid w:val="00FC510B"/>
    <w:rsid w:val="00FC52C2"/>
    <w:rsid w:val="00FC53AD"/>
    <w:rsid w:val="00FC53DB"/>
    <w:rsid w:val="00FC54E6"/>
    <w:rsid w:val="00FC5555"/>
    <w:rsid w:val="00FC5AEB"/>
    <w:rsid w:val="00FC5B24"/>
    <w:rsid w:val="00FC5B51"/>
    <w:rsid w:val="00FC5C4D"/>
    <w:rsid w:val="00FC5CEC"/>
    <w:rsid w:val="00FC5E83"/>
    <w:rsid w:val="00FC5FC2"/>
    <w:rsid w:val="00FC6177"/>
    <w:rsid w:val="00FC6299"/>
    <w:rsid w:val="00FC63D1"/>
    <w:rsid w:val="00FC6498"/>
    <w:rsid w:val="00FC64E6"/>
    <w:rsid w:val="00FC68E2"/>
    <w:rsid w:val="00FC6AF8"/>
    <w:rsid w:val="00FC6DEB"/>
    <w:rsid w:val="00FC6E7F"/>
    <w:rsid w:val="00FC6FE7"/>
    <w:rsid w:val="00FC7191"/>
    <w:rsid w:val="00FC7528"/>
    <w:rsid w:val="00FC7755"/>
    <w:rsid w:val="00FC7ED9"/>
    <w:rsid w:val="00FD014F"/>
    <w:rsid w:val="00FD02DE"/>
    <w:rsid w:val="00FD04C8"/>
    <w:rsid w:val="00FD0572"/>
    <w:rsid w:val="00FD05A1"/>
    <w:rsid w:val="00FD09CC"/>
    <w:rsid w:val="00FD0A79"/>
    <w:rsid w:val="00FD0CDF"/>
    <w:rsid w:val="00FD0D17"/>
    <w:rsid w:val="00FD11FF"/>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C6"/>
    <w:rsid w:val="00FD3CBB"/>
    <w:rsid w:val="00FD400F"/>
    <w:rsid w:val="00FD416B"/>
    <w:rsid w:val="00FD4589"/>
    <w:rsid w:val="00FD473E"/>
    <w:rsid w:val="00FD47E0"/>
    <w:rsid w:val="00FD489A"/>
    <w:rsid w:val="00FD495C"/>
    <w:rsid w:val="00FD4DCF"/>
    <w:rsid w:val="00FD5695"/>
    <w:rsid w:val="00FD5A16"/>
    <w:rsid w:val="00FD5AF6"/>
    <w:rsid w:val="00FD6683"/>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394"/>
    <w:rsid w:val="00FE06DD"/>
    <w:rsid w:val="00FE0B51"/>
    <w:rsid w:val="00FE0B78"/>
    <w:rsid w:val="00FE0C2F"/>
    <w:rsid w:val="00FE0D72"/>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209C"/>
    <w:rsid w:val="00FE20E5"/>
    <w:rsid w:val="00FE22E1"/>
    <w:rsid w:val="00FE237A"/>
    <w:rsid w:val="00FE23DF"/>
    <w:rsid w:val="00FE24AC"/>
    <w:rsid w:val="00FE24EA"/>
    <w:rsid w:val="00FE291F"/>
    <w:rsid w:val="00FE2A77"/>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9C"/>
    <w:rsid w:val="00FE54FC"/>
    <w:rsid w:val="00FE5890"/>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79"/>
    <w:rsid w:val="00FF02D1"/>
    <w:rsid w:val="00FF0355"/>
    <w:rsid w:val="00FF0571"/>
    <w:rsid w:val="00FF089B"/>
    <w:rsid w:val="00FF0997"/>
    <w:rsid w:val="00FF10BB"/>
    <w:rsid w:val="00FF117B"/>
    <w:rsid w:val="00FF126D"/>
    <w:rsid w:val="00FF14C9"/>
    <w:rsid w:val="00FF1844"/>
    <w:rsid w:val="00FF1B94"/>
    <w:rsid w:val="00FF1BA3"/>
    <w:rsid w:val="00FF1F96"/>
    <w:rsid w:val="00FF20AA"/>
    <w:rsid w:val="00FF2310"/>
    <w:rsid w:val="00FF26B0"/>
    <w:rsid w:val="00FF270C"/>
    <w:rsid w:val="00FF2E73"/>
    <w:rsid w:val="00FF2F66"/>
    <w:rsid w:val="00FF31F1"/>
    <w:rsid w:val="00FF3289"/>
    <w:rsid w:val="00FF333F"/>
    <w:rsid w:val="00FF342B"/>
    <w:rsid w:val="00FF3476"/>
    <w:rsid w:val="00FF364C"/>
    <w:rsid w:val="00FF382D"/>
    <w:rsid w:val="00FF3B06"/>
    <w:rsid w:val="00FF3D39"/>
    <w:rsid w:val="00FF3E84"/>
    <w:rsid w:val="00FF422C"/>
    <w:rsid w:val="00FF4249"/>
    <w:rsid w:val="00FF4282"/>
    <w:rsid w:val="00FF4477"/>
    <w:rsid w:val="00FF45F9"/>
    <w:rsid w:val="00FF479C"/>
    <w:rsid w:val="00FF48F9"/>
    <w:rsid w:val="00FF4904"/>
    <w:rsid w:val="00FF4AA8"/>
    <w:rsid w:val="00FF4AE2"/>
    <w:rsid w:val="00FF4C2D"/>
    <w:rsid w:val="00FF4F29"/>
    <w:rsid w:val="00FF4FB9"/>
    <w:rsid w:val="00FF5020"/>
    <w:rsid w:val="00FF50A8"/>
    <w:rsid w:val="00FF5162"/>
    <w:rsid w:val="00FF534D"/>
    <w:rsid w:val="00FF571E"/>
    <w:rsid w:val="00FF5924"/>
    <w:rsid w:val="00FF5FD1"/>
    <w:rsid w:val="00FF6026"/>
    <w:rsid w:val="00FF60F5"/>
    <w:rsid w:val="00FF657A"/>
    <w:rsid w:val="00FF65CE"/>
    <w:rsid w:val="00FF6918"/>
    <w:rsid w:val="00FF693A"/>
    <w:rsid w:val="00FF6BD1"/>
    <w:rsid w:val="00FF6CC0"/>
    <w:rsid w:val="00FF6E41"/>
    <w:rsid w:val="00FF72B6"/>
    <w:rsid w:val="00FF73BA"/>
    <w:rsid w:val="00FF7512"/>
    <w:rsid w:val="00FF7563"/>
    <w:rsid w:val="00FF75FA"/>
    <w:rsid w:val="00FF77EB"/>
    <w:rsid w:val="00FF787A"/>
    <w:rsid w:val="00FF7C7A"/>
    <w:rsid w:val="00FF7D80"/>
    <w:rsid w:val="00FF7DB5"/>
    <w:rsid w:val="00FF7E0E"/>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3123BF"/>
  <w15:docId w15:val="{97468909-0D17-4574-A32F-DC5EAF247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6630"/>
    <w:pPr>
      <w:autoSpaceDE w:val="0"/>
      <w:autoSpaceDN w:val="0"/>
      <w:adjustRightInd w:val="0"/>
      <w:snapToGrid w:val="0"/>
      <w:spacing w:after="120"/>
      <w:jc w:val="both"/>
    </w:pPr>
    <w:rPr>
      <w:sz w:val="22"/>
      <w:szCs w:val="22"/>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030AF4"/>
    <w:pPr>
      <w:keepNext/>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030AF4"/>
    <w:pPr>
      <w:keepNext/>
      <w:numPr>
        <w:ilvl w:val="1"/>
        <w:numId w:val="2"/>
      </w:numPr>
      <w:spacing w:before="120"/>
      <w:outlineLvl w:val="1"/>
    </w:pPr>
    <w:rPr>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qFormat/>
    <w:rsid w:val="00030AF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030AF4"/>
    <w:pPr>
      <w:keepNext/>
      <w:numPr>
        <w:ilvl w:val="3"/>
        <w:numId w:val="2"/>
      </w:numPr>
      <w:spacing w:before="120"/>
      <w:outlineLvl w:val="3"/>
    </w:pPr>
    <w:rPr>
      <w:b/>
      <w:bCs/>
      <w:szCs w:val="28"/>
    </w:rPr>
  </w:style>
  <w:style w:type="paragraph" w:styleId="Heading5">
    <w:name w:val="heading 5"/>
    <w:aliases w:val="h5,Heading5"/>
    <w:basedOn w:val="Normal"/>
    <w:next w:val="Normal"/>
    <w:qFormat/>
    <w:rsid w:val="00030AF4"/>
    <w:pPr>
      <w:keepNext/>
      <w:numPr>
        <w:ilvl w:val="4"/>
        <w:numId w:val="2"/>
      </w:numPr>
      <w:spacing w:before="120"/>
      <w:outlineLvl w:val="4"/>
    </w:pPr>
    <w:rPr>
      <w:b/>
      <w:bCs/>
      <w:i/>
      <w:iCs/>
      <w:szCs w:val="26"/>
    </w:rPr>
  </w:style>
  <w:style w:type="paragraph" w:styleId="Heading6">
    <w:name w:val="heading 6"/>
    <w:basedOn w:val="Normal"/>
    <w:next w:val="Normal"/>
    <w:qFormat/>
    <w:rsid w:val="00030AF4"/>
    <w:pPr>
      <w:numPr>
        <w:ilvl w:val="5"/>
        <w:numId w:val="2"/>
      </w:numPr>
      <w:spacing w:before="240" w:after="60"/>
      <w:outlineLvl w:val="5"/>
    </w:pPr>
    <w:rPr>
      <w:b/>
      <w:bCs/>
    </w:rPr>
  </w:style>
  <w:style w:type="paragraph" w:styleId="Heading7">
    <w:name w:val="heading 7"/>
    <w:basedOn w:val="Normal"/>
    <w:next w:val="Normal"/>
    <w:qFormat/>
    <w:rsid w:val="00030AF4"/>
    <w:pPr>
      <w:numPr>
        <w:ilvl w:val="6"/>
        <w:numId w:val="2"/>
      </w:numPr>
      <w:spacing w:before="240" w:after="60"/>
      <w:outlineLvl w:val="6"/>
    </w:pPr>
    <w:rPr>
      <w:sz w:val="24"/>
      <w:szCs w:val="24"/>
    </w:rPr>
  </w:style>
  <w:style w:type="paragraph" w:styleId="Heading8">
    <w:name w:val="heading 8"/>
    <w:basedOn w:val="Normal"/>
    <w:next w:val="Normal"/>
    <w:qFormat/>
    <w:rsid w:val="00030AF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AF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AF4"/>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030AF4"/>
    <w:rPr>
      <w:color w:val="0000FF"/>
      <w:u w:val="single"/>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030AF4"/>
    <w:pPr>
      <w:jc w:val="center"/>
    </w:pPr>
    <w:rPr>
      <w:b/>
      <w:bCs/>
      <w:sz w:val="20"/>
      <w:szCs w:val="20"/>
    </w:r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basedOn w:val="DefaultParagraphFont"/>
    <w:link w:val="Caption"/>
    <w:rsid w:val="00C411AF"/>
    <w:rPr>
      <w:b/>
      <w:bCs/>
    </w:rPr>
  </w:style>
  <w:style w:type="paragraph" w:styleId="ListBullet">
    <w:name w:val="List Bullet"/>
    <w:basedOn w:val="List"/>
    <w:rsid w:val="00030AF4"/>
    <w:pPr>
      <w:autoSpaceDE/>
      <w:autoSpaceDN/>
      <w:adjustRightInd/>
      <w:spacing w:after="180"/>
      <w:ind w:left="568" w:hanging="284"/>
      <w:jc w:val="left"/>
    </w:pPr>
    <w:rPr>
      <w:sz w:val="20"/>
      <w:szCs w:val="20"/>
      <w:lang w:val="en-GB"/>
    </w:rPr>
  </w:style>
  <w:style w:type="paragraph" w:styleId="List">
    <w:name w:val="List"/>
    <w:basedOn w:val="Normal"/>
    <w:rsid w:val="00030AF4"/>
    <w:pPr>
      <w:ind w:left="360" w:hanging="360"/>
    </w:pPr>
  </w:style>
  <w:style w:type="paragraph" w:styleId="BodyText2">
    <w:name w:val="Body Text 2"/>
    <w:basedOn w:val="Normal"/>
    <w:rsid w:val="00030AF4"/>
    <w:pPr>
      <w:spacing w:after="0"/>
      <w:jc w:val="left"/>
    </w:pPr>
    <w:rPr>
      <w:szCs w:val="20"/>
    </w:rPr>
  </w:style>
  <w:style w:type="paragraph" w:styleId="BalloonText">
    <w:name w:val="Balloon Text"/>
    <w:basedOn w:val="Normal"/>
    <w:semiHidden/>
    <w:rsid w:val="00030AF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030AF4"/>
    <w:rPr>
      <w:color w:val="800080"/>
      <w:u w:val="single"/>
    </w:rPr>
  </w:style>
  <w:style w:type="paragraph" w:styleId="FootnoteText">
    <w:name w:val="footnote text"/>
    <w:basedOn w:val="Normal"/>
    <w:semiHidden/>
    <w:rsid w:val="00030AF4"/>
    <w:rPr>
      <w:sz w:val="20"/>
      <w:szCs w:val="20"/>
    </w:rPr>
  </w:style>
  <w:style w:type="character" w:styleId="FootnoteReference">
    <w:name w:val="footnote reference"/>
    <w:basedOn w:val="DefaultParagraphFont"/>
    <w:semiHidden/>
    <w:rsid w:val="00030AF4"/>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NormalWeb">
    <w:name w:val="Normal (Web)"/>
    <w:basedOn w:val="Normal"/>
    <w:uiPriority w:val="99"/>
    <w:unhideWhenUsed/>
    <w:rsid w:val="00085B14"/>
    <w:pPr>
      <w:autoSpaceDE/>
      <w:autoSpaceDN/>
      <w:adjustRightInd/>
      <w:snapToGrid/>
      <w:spacing w:before="100" w:beforeAutospacing="1" w:after="100" w:afterAutospacing="1"/>
      <w:jc w:val="left"/>
    </w:pPr>
    <w:rPr>
      <w:rFonts w:ascii="SimSun" w:eastAsiaTheme="minorEastAsia" w:hAnsi="SimSun" w:cs="SimSun"/>
      <w:sz w:val="24"/>
      <w:szCs w:val="24"/>
      <w:lang w:eastAsia="zh-CN"/>
    </w:rPr>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목록단락"/>
    <w:basedOn w:val="Normal"/>
    <w:link w:val="ListParagraphChar"/>
    <w:uiPriority w:val="34"/>
    <w:qFormat/>
    <w:rsid w:val="00BD2527"/>
    <w:pPr>
      <w:ind w:firstLineChars="200" w:firstLine="420"/>
    </w:p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37058"/>
    <w:rPr>
      <w:b/>
      <w:bCs/>
      <w:sz w:val="24"/>
      <w:szCs w:val="22"/>
    </w:rPr>
  </w:style>
  <w:style w:type="paragraph" w:customStyle="1" w:styleId="TAH">
    <w:name w:val="TAH"/>
    <w:basedOn w:val="TAC"/>
    <w:link w:val="TAHCar"/>
    <w:qFormat/>
    <w:rsid w:val="00CE05E4"/>
    <w:rPr>
      <w:b/>
    </w:rPr>
  </w:style>
  <w:style w:type="paragraph" w:customStyle="1" w:styleId="TAC">
    <w:name w:val="TAC"/>
    <w:basedOn w:val="Normal"/>
    <w:link w:val="TACChar"/>
    <w:qFormat/>
    <w:rsid w:val="00CE05E4"/>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sid w:val="00CE05E4"/>
    <w:rPr>
      <w:rFonts w:ascii="Arial" w:hAnsi="Arial"/>
      <w:sz w:val="18"/>
      <w:lang w:val="en-GB"/>
    </w:rPr>
  </w:style>
  <w:style w:type="character" w:customStyle="1" w:styleId="TAHCar">
    <w:name w:val="TAH Car"/>
    <w:link w:val="TAH"/>
    <w:qFormat/>
    <w:rsid w:val="00CE05E4"/>
    <w:rPr>
      <w:rFonts w:ascii="Arial" w:hAnsi="Arial"/>
      <w:b/>
      <w:sz w:val="18"/>
      <w:lang w:val="en-GB"/>
    </w:rPr>
  </w:style>
  <w:style w:type="paragraph" w:customStyle="1" w:styleId="TH">
    <w:name w:val="TH"/>
    <w:basedOn w:val="Normal"/>
    <w:link w:val="THChar"/>
    <w:qFormat/>
    <w:rsid w:val="00CE05E4"/>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CE05E4"/>
    <w:rPr>
      <w:rFonts w:ascii="Arial" w:hAnsi="Arial"/>
      <w:b/>
      <w:lang w:val="en-GB"/>
    </w:rPr>
  </w:style>
  <w:style w:type="paragraph" w:customStyle="1" w:styleId="TAN">
    <w:name w:val="TAN"/>
    <w:basedOn w:val="Normal"/>
    <w:link w:val="TANChar"/>
    <w:rsid w:val="00CE05E4"/>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rsid w:val="00CE05E4"/>
    <w:rPr>
      <w:rFonts w:ascii="Arial" w:hAnsi="Arial"/>
      <w:sz w:val="18"/>
      <w:lang w:val="en-GB"/>
    </w:rPr>
  </w:style>
  <w:style w:type="character" w:styleId="PlaceholderText">
    <w:name w:val="Placeholder Text"/>
    <w:basedOn w:val="DefaultParagraphFont"/>
    <w:uiPriority w:val="99"/>
    <w:semiHidden/>
    <w:rsid w:val="006506A2"/>
    <w:rPr>
      <w:color w:val="808080"/>
    </w:rPr>
  </w:style>
  <w:style w:type="character" w:styleId="CommentReference">
    <w:name w:val="annotation reference"/>
    <w:basedOn w:val="DefaultParagraphFont"/>
    <w:unhideWhenUsed/>
    <w:qFormat/>
    <w:rsid w:val="00116E65"/>
    <w:rPr>
      <w:sz w:val="21"/>
      <w:szCs w:val="21"/>
    </w:rPr>
  </w:style>
  <w:style w:type="paragraph" w:styleId="CommentText">
    <w:name w:val="annotation text"/>
    <w:basedOn w:val="Normal"/>
    <w:link w:val="CommentTextChar"/>
    <w:uiPriority w:val="99"/>
    <w:unhideWhenUsed/>
    <w:qFormat/>
    <w:rsid w:val="00116E65"/>
    <w:pPr>
      <w:jc w:val="left"/>
    </w:pPr>
  </w:style>
  <w:style w:type="character" w:customStyle="1" w:styleId="CommentTextChar">
    <w:name w:val="Comment Text Char"/>
    <w:basedOn w:val="DefaultParagraphFont"/>
    <w:link w:val="CommentText"/>
    <w:uiPriority w:val="99"/>
    <w:qFormat/>
    <w:rsid w:val="00116E65"/>
    <w:rPr>
      <w:sz w:val="22"/>
      <w:szCs w:val="22"/>
    </w:rPr>
  </w:style>
  <w:style w:type="paragraph" w:styleId="CommentSubject">
    <w:name w:val="annotation subject"/>
    <w:basedOn w:val="CommentText"/>
    <w:next w:val="CommentText"/>
    <w:link w:val="CommentSubjectChar"/>
    <w:semiHidden/>
    <w:unhideWhenUsed/>
    <w:rsid w:val="00116E65"/>
    <w:rPr>
      <w:b/>
      <w:bCs/>
    </w:rPr>
  </w:style>
  <w:style w:type="character" w:customStyle="1" w:styleId="CommentSubjectChar">
    <w:name w:val="Comment Subject Char"/>
    <w:basedOn w:val="CommentTextChar"/>
    <w:link w:val="CommentSubject"/>
    <w:semiHidden/>
    <w:rsid w:val="00116E65"/>
    <w:rPr>
      <w:b/>
      <w:bCs/>
      <w:sz w:val="22"/>
      <w:szCs w:val="22"/>
    </w:rPr>
  </w:style>
  <w:style w:type="paragraph" w:styleId="Revision">
    <w:name w:val="Revision"/>
    <w:hidden/>
    <w:uiPriority w:val="99"/>
    <w:semiHidden/>
    <w:rsid w:val="00116E65"/>
    <w:rPr>
      <w:sz w:val="22"/>
      <w:szCs w:val="22"/>
    </w:r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
    <w:link w:val="ListParagraph"/>
    <w:uiPriority w:val="34"/>
    <w:qFormat/>
    <w:locked/>
    <w:rsid w:val="00DB7A96"/>
    <w:rPr>
      <w:sz w:val="22"/>
      <w:szCs w:val="22"/>
    </w:rPr>
  </w:style>
  <w:style w:type="paragraph" w:customStyle="1" w:styleId="Char">
    <w:name w:val="Char"/>
    <w:semiHidden/>
    <w:rsid w:val="00DB7A9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B1">
    <w:name w:val="B1"/>
    <w:basedOn w:val="Normal"/>
    <w:link w:val="B1Char"/>
    <w:qFormat/>
    <w:rsid w:val="00B61B70"/>
    <w:pPr>
      <w:autoSpaceDE/>
      <w:autoSpaceDN/>
      <w:adjustRightInd/>
      <w:snapToGrid/>
      <w:spacing w:after="180"/>
      <w:ind w:left="568" w:hanging="284"/>
      <w:jc w:val="left"/>
    </w:pPr>
    <w:rPr>
      <w:sz w:val="20"/>
      <w:szCs w:val="20"/>
      <w:lang w:val="en-GB"/>
    </w:rPr>
  </w:style>
  <w:style w:type="character" w:customStyle="1" w:styleId="B1Char">
    <w:name w:val="B1 Char"/>
    <w:link w:val="B1"/>
    <w:qFormat/>
    <w:rsid w:val="00B61B70"/>
    <w:rPr>
      <w:lang w:val="en-GB"/>
    </w:rPr>
  </w:style>
  <w:style w:type="character" w:customStyle="1" w:styleId="normaltextrun1">
    <w:name w:val="normaltextrun1"/>
    <w:basedOn w:val="DefaultParagraphFont"/>
    <w:rsid w:val="00D90F8A"/>
  </w:style>
  <w:style w:type="paragraph" w:customStyle="1" w:styleId="TAR">
    <w:name w:val="TAR"/>
    <w:basedOn w:val="Normal"/>
    <w:rsid w:val="00657FDA"/>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rsid w:val="00383332"/>
    <w:pPr>
      <w:autoSpaceDE w:val="0"/>
      <w:autoSpaceDN w:val="0"/>
      <w:adjustRightInd w:val="0"/>
    </w:pPr>
    <w:rPr>
      <w:color w:val="000000"/>
      <w:sz w:val="24"/>
      <w:szCs w:val="24"/>
      <w:lang w:eastAsia="zh-CN"/>
    </w:rPr>
  </w:style>
  <w:style w:type="paragraph" w:customStyle="1" w:styleId="B2">
    <w:name w:val="B2"/>
    <w:basedOn w:val="List2"/>
    <w:link w:val="B2Char"/>
    <w:qFormat/>
    <w:rsid w:val="00FE1C5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sid w:val="00FE1C5C"/>
    <w:rPr>
      <w:rFonts w:eastAsia="MS Mincho"/>
      <w:lang w:val="en-GB" w:eastAsia="en-US" w:bidi="ar-SA"/>
    </w:rPr>
  </w:style>
  <w:style w:type="character" w:customStyle="1" w:styleId="B2Char">
    <w:name w:val="B2 Char"/>
    <w:link w:val="B2"/>
    <w:qFormat/>
    <w:rsid w:val="00FE1C5C"/>
    <w:rPr>
      <w:rFonts w:eastAsia="MS Mincho"/>
      <w:lang w:val="en-GB"/>
    </w:rPr>
  </w:style>
  <w:style w:type="paragraph" w:styleId="List2">
    <w:name w:val="List 2"/>
    <w:basedOn w:val="Normal"/>
    <w:semiHidden/>
    <w:unhideWhenUsed/>
    <w:rsid w:val="00FE1C5C"/>
    <w:pPr>
      <w:ind w:leftChars="200" w:left="100" w:hangingChars="200" w:hanging="200"/>
      <w:contextualSpacing/>
    </w:pPr>
  </w:style>
  <w:style w:type="paragraph" w:customStyle="1" w:styleId="MTDisplayEquation">
    <w:name w:val="MTDisplayEquation"/>
    <w:basedOn w:val="Normal"/>
    <w:next w:val="Normal"/>
    <w:link w:val="MTDisplayEquationChar"/>
    <w:rsid w:val="00E559F7"/>
    <w:pPr>
      <w:tabs>
        <w:tab w:val="center" w:pos="4660"/>
        <w:tab w:val="right" w:pos="9320"/>
      </w:tabs>
    </w:pPr>
    <w:rPr>
      <w:szCs w:val="20"/>
      <w:lang w:eastAsia="zh-CN"/>
    </w:rPr>
  </w:style>
  <w:style w:type="character" w:customStyle="1" w:styleId="MTDisplayEquationChar">
    <w:name w:val="MTDisplayEquation Char"/>
    <w:basedOn w:val="DefaultParagraphFont"/>
    <w:link w:val="MTDisplayEquation"/>
    <w:rsid w:val="00E559F7"/>
    <w:rPr>
      <w:sz w:val="22"/>
      <w:lang w:eastAsia="zh-CN"/>
    </w:rPr>
  </w:style>
  <w:style w:type="character" w:customStyle="1" w:styleId="resultitem">
    <w:name w:val="resultitem"/>
    <w:basedOn w:val="DefaultParagraphFont"/>
    <w:rsid w:val="00CF29DC"/>
  </w:style>
  <w:style w:type="character" w:customStyle="1" w:styleId="B1Zchn">
    <w:name w:val="B1 Zchn"/>
    <w:qFormat/>
    <w:rsid w:val="005D1820"/>
    <w:rPr>
      <w:lang w:eastAsia="en-US"/>
    </w:rPr>
  </w:style>
  <w:style w:type="character" w:customStyle="1" w:styleId="apple-converted-space">
    <w:name w:val="apple-converted-space"/>
    <w:qFormat/>
    <w:rsid w:val="00C27C45"/>
  </w:style>
  <w:style w:type="character" w:customStyle="1" w:styleId="heading-index">
    <w:name w:val="heading-index"/>
    <w:basedOn w:val="DefaultParagraphFont"/>
    <w:rsid w:val="00656743"/>
  </w:style>
  <w:style w:type="character" w:styleId="Strong">
    <w:name w:val="Strong"/>
    <w:basedOn w:val="DefaultParagraphFont"/>
    <w:uiPriority w:val="22"/>
    <w:qFormat/>
    <w:rsid w:val="00656743"/>
    <w:rPr>
      <w:b/>
      <w:bCs/>
    </w:rPr>
  </w:style>
  <w:style w:type="character" w:customStyle="1" w:styleId="ml-1">
    <w:name w:val="ml-1"/>
    <w:basedOn w:val="DefaultParagraphFont"/>
    <w:rsid w:val="00FE1478"/>
  </w:style>
  <w:style w:type="character" w:customStyle="1" w:styleId="TALCar">
    <w:name w:val="TAL Car"/>
    <w:basedOn w:val="DefaultParagraphFont"/>
    <w:link w:val="TAL"/>
    <w:qFormat/>
    <w:locked/>
    <w:rsid w:val="00EF64AA"/>
    <w:rPr>
      <w:rFonts w:ascii="Arial" w:eastAsiaTheme="minorEastAsia" w:hAnsi="Arial" w:cs="Arial"/>
      <w:sz w:val="18"/>
      <w:lang w:val="en-GB"/>
    </w:rPr>
  </w:style>
  <w:style w:type="paragraph" w:customStyle="1" w:styleId="TAL">
    <w:name w:val="TAL"/>
    <w:basedOn w:val="Normal"/>
    <w:link w:val="TALCar"/>
    <w:qFormat/>
    <w:rsid w:val="00EF64AA"/>
    <w:pPr>
      <w:keepNext/>
      <w:keepLines/>
      <w:autoSpaceDE/>
      <w:autoSpaceDN/>
      <w:adjustRightInd/>
      <w:snapToGrid/>
      <w:spacing w:after="0"/>
      <w:jc w:val="left"/>
    </w:pPr>
    <w:rPr>
      <w:rFonts w:ascii="Arial" w:eastAsiaTheme="minorEastAsia" w:hAnsi="Arial" w:cs="Arial"/>
      <w:sz w:val="18"/>
      <w:szCs w:val="20"/>
      <w:lang w:val="en-GB"/>
    </w:rPr>
  </w:style>
  <w:style w:type="table" w:styleId="GridTable2-Accent1">
    <w:name w:val="Grid Table 2 Accent 1"/>
    <w:basedOn w:val="TableNormal"/>
    <w:uiPriority w:val="47"/>
    <w:rsid w:val="00B32E71"/>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1Light-Accent5">
    <w:name w:val="Grid Table 1 Light Accent 5"/>
    <w:basedOn w:val="TableNormal"/>
    <w:uiPriority w:val="46"/>
    <w:rsid w:val="00B32E71"/>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TableWeb3">
    <w:name w:val="Table Web 3"/>
    <w:basedOn w:val="TableNormal"/>
    <w:rsid w:val="00B32E71"/>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GridTable5Dark-Accent5">
    <w:name w:val="Grid Table 5 Dark Accent 5"/>
    <w:basedOn w:val="TableNormal"/>
    <w:uiPriority w:val="50"/>
    <w:rsid w:val="0036087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link w:val="Heading1"/>
    <w:rsid w:val="001836E6"/>
    <w:rPr>
      <w:b/>
      <w:bCs/>
      <w:sz w:val="28"/>
      <w:szCs w:val="28"/>
    </w:rPr>
  </w:style>
  <w:style w:type="paragraph" w:customStyle="1" w:styleId="Comments">
    <w:name w:val="Comments"/>
    <w:basedOn w:val="Normal"/>
    <w:link w:val="CommentsChar"/>
    <w:qFormat/>
    <w:rsid w:val="00651B00"/>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qFormat/>
    <w:rsid w:val="00651B00"/>
    <w:rPr>
      <w:rFonts w:ascii="Arial" w:eastAsia="MS Mincho" w:hAnsi="Arial"/>
      <w:i/>
      <w:noProof/>
      <w:sz w:val="18"/>
      <w:szCs w:val="24"/>
      <w:lang w:val="en-GB" w:eastAsia="en-GB"/>
    </w:rPr>
  </w:style>
  <w:style w:type="paragraph" w:customStyle="1" w:styleId="ComeBack">
    <w:name w:val="ComeBack"/>
    <w:basedOn w:val="Normal"/>
    <w:next w:val="Normal"/>
    <w:rsid w:val="00651B00"/>
    <w:pPr>
      <w:numPr>
        <w:numId w:val="3"/>
      </w:numPr>
      <w:autoSpaceDE/>
      <w:autoSpaceDN/>
      <w:adjustRightInd/>
      <w:snapToGrid/>
      <w:spacing w:after="0"/>
      <w:jc w:val="left"/>
    </w:pPr>
    <w:rPr>
      <w:rFonts w:ascii="Arial" w:eastAsia="MS Mincho" w:hAnsi="Arial"/>
      <w:sz w:val="20"/>
      <w:szCs w:val="24"/>
      <w:lang w:val="en-GB" w:eastAsia="en-GB"/>
    </w:rPr>
  </w:style>
  <w:style w:type="paragraph" w:customStyle="1" w:styleId="Doc-text2">
    <w:name w:val="Doc-text2"/>
    <w:basedOn w:val="Normal"/>
    <w:link w:val="Doc-text2Char"/>
    <w:qFormat/>
    <w:rsid w:val="0001786B"/>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01786B"/>
    <w:rPr>
      <w:rFonts w:ascii="Arial" w:eastAsia="MS Mincho" w:hAnsi="Arial"/>
      <w:szCs w:val="24"/>
      <w:lang w:val="en-GB" w:eastAsia="en-GB"/>
    </w:rPr>
  </w:style>
  <w:style w:type="paragraph" w:customStyle="1" w:styleId="B3">
    <w:name w:val="B3"/>
    <w:basedOn w:val="List3"/>
    <w:link w:val="B3Char2"/>
    <w:qFormat/>
    <w:rsid w:val="00075C13"/>
    <w:pPr>
      <w:autoSpaceDE/>
      <w:autoSpaceDN/>
      <w:adjustRightInd/>
      <w:snapToGrid/>
      <w:spacing w:after="180"/>
      <w:ind w:left="1135" w:hanging="284"/>
      <w:contextualSpacing w:val="0"/>
      <w:jc w:val="left"/>
    </w:pPr>
    <w:rPr>
      <w:rFonts w:eastAsia="Malgun Gothic" w:cs="Calibri"/>
      <w:szCs w:val="20"/>
      <w:lang w:val="x-none"/>
    </w:rPr>
  </w:style>
  <w:style w:type="character" w:customStyle="1" w:styleId="B1Char1">
    <w:name w:val="B1 Char1"/>
    <w:qFormat/>
    <w:locked/>
    <w:rsid w:val="00075C13"/>
    <w:rPr>
      <w:rFonts w:eastAsia="Malgun Gothic" w:cs="Calibri"/>
      <w:sz w:val="22"/>
      <w:lang w:eastAsia="x-none"/>
    </w:rPr>
  </w:style>
  <w:style w:type="character" w:customStyle="1" w:styleId="B3Char2">
    <w:name w:val="B3 Char2"/>
    <w:link w:val="B3"/>
    <w:rsid w:val="00075C13"/>
    <w:rPr>
      <w:rFonts w:eastAsia="Malgun Gothic" w:cs="Calibri"/>
      <w:sz w:val="22"/>
      <w:lang w:val="x-none"/>
    </w:rPr>
  </w:style>
  <w:style w:type="character" w:customStyle="1" w:styleId="Char1">
    <w:name w:val="批注文字 Char1"/>
    <w:uiPriority w:val="99"/>
    <w:qFormat/>
    <w:rsid w:val="00075C13"/>
    <w:rPr>
      <w:snapToGrid w:val="0"/>
    </w:rPr>
  </w:style>
  <w:style w:type="paragraph" w:styleId="List3">
    <w:name w:val="List 3"/>
    <w:basedOn w:val="Normal"/>
    <w:semiHidden/>
    <w:unhideWhenUsed/>
    <w:rsid w:val="00075C13"/>
    <w:pPr>
      <w:ind w:left="849" w:hanging="283"/>
      <w:contextualSpacing/>
    </w:pPr>
  </w:style>
  <w:style w:type="paragraph" w:customStyle="1" w:styleId="Obs-prop">
    <w:name w:val="Obs-prop"/>
    <w:basedOn w:val="Normal"/>
    <w:next w:val="Normal"/>
    <w:qFormat/>
    <w:rsid w:val="009300C4"/>
    <w:pPr>
      <w:suppressAutoHyphens/>
      <w:autoSpaceDE/>
      <w:autoSpaceDN/>
      <w:adjustRightInd/>
      <w:snapToGrid/>
      <w:spacing w:before="120" w:after="160"/>
      <w:jc w:val="left"/>
    </w:pPr>
    <w:rPr>
      <w:rFonts w:ascii="Times" w:eastAsiaTheme="minorHAnsi" w:hAnsi="Times" w:cstheme="minorBidi"/>
      <w:b/>
      <w:bCs/>
      <w:sz w:val="20"/>
      <w:lang w:val="en-GB"/>
    </w:rPr>
  </w:style>
  <w:style w:type="paragraph" w:customStyle="1" w:styleId="EmailDiscussion2">
    <w:name w:val="EmailDiscussion2"/>
    <w:basedOn w:val="Doc-text2"/>
    <w:qFormat/>
    <w:rsid w:val="00B152DF"/>
  </w:style>
  <w:style w:type="table" w:customStyle="1" w:styleId="10">
    <w:name w:val="网格型1"/>
    <w:basedOn w:val="TableNormal"/>
    <w:next w:val="TableGrid"/>
    <w:uiPriority w:val="39"/>
    <w:rsid w:val="00D03645"/>
    <w:rPr>
      <w:rFonts w:ascii="Aptos" w:eastAsia="DengXian" w:hAnsi="Aptos"/>
      <w:kern w:val="2"/>
      <w:sz w:val="24"/>
      <w:szCs w:val="24"/>
      <w:lang w:eastAsia="zh-C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2">
    <w:name w:val="font2"/>
    <w:basedOn w:val="DefaultParagraphFont"/>
    <w:rsid w:val="00E74BC3"/>
  </w:style>
  <w:style w:type="character" w:customStyle="1" w:styleId="font1">
    <w:name w:val="font1"/>
    <w:basedOn w:val="DefaultParagraphFont"/>
    <w:rsid w:val="00E74BC3"/>
  </w:style>
  <w:style w:type="character" w:styleId="SubtleEmphasis">
    <w:name w:val="Subtle Emphasis"/>
    <w:basedOn w:val="DefaultParagraphFont"/>
    <w:uiPriority w:val="19"/>
    <w:qFormat/>
    <w:rsid w:val="006846FA"/>
    <w:rPr>
      <w:i/>
      <w:iCs/>
      <w:color w:val="404040" w:themeColor="text1" w:themeTint="BF"/>
    </w:rPr>
  </w:style>
  <w:style w:type="character" w:customStyle="1" w:styleId="ts-alignment-element-highlighted">
    <w:name w:val="ts-alignment-element-highlighted"/>
    <w:basedOn w:val="DefaultParagraphFont"/>
    <w:rsid w:val="00EB42FD"/>
  </w:style>
  <w:style w:type="paragraph" w:customStyle="1" w:styleId="Agreement">
    <w:name w:val="Agreement"/>
    <w:basedOn w:val="Normal"/>
    <w:next w:val="Normal"/>
    <w:uiPriority w:val="99"/>
    <w:qFormat/>
    <w:rsid w:val="007C054E"/>
    <w:pPr>
      <w:numPr>
        <w:numId w:val="22"/>
      </w:numPr>
      <w:autoSpaceDE/>
      <w:autoSpaceDN/>
      <w:adjustRightInd/>
      <w:snapToGrid/>
      <w:spacing w:before="60" w:after="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94659">
      <w:bodyDiv w:val="1"/>
      <w:marLeft w:val="0"/>
      <w:marRight w:val="0"/>
      <w:marTop w:val="0"/>
      <w:marBottom w:val="0"/>
      <w:divBdr>
        <w:top w:val="none" w:sz="0" w:space="0" w:color="auto"/>
        <w:left w:val="none" w:sz="0" w:space="0" w:color="auto"/>
        <w:bottom w:val="none" w:sz="0" w:space="0" w:color="auto"/>
        <w:right w:val="none" w:sz="0" w:space="0" w:color="auto"/>
      </w:divBdr>
      <w:divsChild>
        <w:div w:id="109208122">
          <w:marLeft w:val="0"/>
          <w:marRight w:val="0"/>
          <w:marTop w:val="0"/>
          <w:marBottom w:val="0"/>
          <w:divBdr>
            <w:top w:val="none" w:sz="0" w:space="0" w:color="auto"/>
            <w:left w:val="none" w:sz="0" w:space="0" w:color="auto"/>
            <w:bottom w:val="none" w:sz="0" w:space="0" w:color="auto"/>
            <w:right w:val="none" w:sz="0" w:space="0" w:color="auto"/>
          </w:divBdr>
        </w:div>
      </w:divsChild>
    </w:div>
    <w:div w:id="16784652">
      <w:bodyDiv w:val="1"/>
      <w:marLeft w:val="0"/>
      <w:marRight w:val="0"/>
      <w:marTop w:val="0"/>
      <w:marBottom w:val="0"/>
      <w:divBdr>
        <w:top w:val="none" w:sz="0" w:space="0" w:color="auto"/>
        <w:left w:val="none" w:sz="0" w:space="0" w:color="auto"/>
        <w:bottom w:val="none" w:sz="0" w:space="0" w:color="auto"/>
        <w:right w:val="none" w:sz="0" w:space="0" w:color="auto"/>
      </w:divBdr>
    </w:div>
    <w:div w:id="117460537">
      <w:bodyDiv w:val="1"/>
      <w:marLeft w:val="0"/>
      <w:marRight w:val="0"/>
      <w:marTop w:val="0"/>
      <w:marBottom w:val="0"/>
      <w:divBdr>
        <w:top w:val="none" w:sz="0" w:space="0" w:color="auto"/>
        <w:left w:val="none" w:sz="0" w:space="0" w:color="auto"/>
        <w:bottom w:val="none" w:sz="0" w:space="0" w:color="auto"/>
        <w:right w:val="none" w:sz="0" w:space="0" w:color="auto"/>
      </w:divBdr>
    </w:div>
    <w:div w:id="123088034">
      <w:bodyDiv w:val="1"/>
      <w:marLeft w:val="0"/>
      <w:marRight w:val="0"/>
      <w:marTop w:val="0"/>
      <w:marBottom w:val="0"/>
      <w:divBdr>
        <w:top w:val="none" w:sz="0" w:space="0" w:color="auto"/>
        <w:left w:val="none" w:sz="0" w:space="0" w:color="auto"/>
        <w:bottom w:val="none" w:sz="0" w:space="0" w:color="auto"/>
        <w:right w:val="none" w:sz="0" w:space="0" w:color="auto"/>
      </w:divBdr>
    </w:div>
    <w:div w:id="123626175">
      <w:bodyDiv w:val="1"/>
      <w:marLeft w:val="0"/>
      <w:marRight w:val="0"/>
      <w:marTop w:val="0"/>
      <w:marBottom w:val="0"/>
      <w:divBdr>
        <w:top w:val="none" w:sz="0" w:space="0" w:color="auto"/>
        <w:left w:val="none" w:sz="0" w:space="0" w:color="auto"/>
        <w:bottom w:val="none" w:sz="0" w:space="0" w:color="auto"/>
        <w:right w:val="none" w:sz="0" w:space="0" w:color="auto"/>
      </w:divBdr>
    </w:div>
    <w:div w:id="1886404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0231077">
      <w:bodyDiv w:val="1"/>
      <w:marLeft w:val="0"/>
      <w:marRight w:val="0"/>
      <w:marTop w:val="0"/>
      <w:marBottom w:val="0"/>
      <w:divBdr>
        <w:top w:val="none" w:sz="0" w:space="0" w:color="auto"/>
        <w:left w:val="none" w:sz="0" w:space="0" w:color="auto"/>
        <w:bottom w:val="none" w:sz="0" w:space="0" w:color="auto"/>
        <w:right w:val="none" w:sz="0" w:space="0" w:color="auto"/>
      </w:divBdr>
      <w:divsChild>
        <w:div w:id="1743982948">
          <w:marLeft w:val="1166"/>
          <w:marRight w:val="0"/>
          <w:marTop w:val="67"/>
          <w:marBottom w:val="0"/>
          <w:divBdr>
            <w:top w:val="none" w:sz="0" w:space="0" w:color="auto"/>
            <w:left w:val="none" w:sz="0" w:space="0" w:color="auto"/>
            <w:bottom w:val="none" w:sz="0" w:space="0" w:color="auto"/>
            <w:right w:val="none" w:sz="0" w:space="0" w:color="auto"/>
          </w:divBdr>
        </w:div>
        <w:div w:id="1817794187">
          <w:marLeft w:val="1166"/>
          <w:marRight w:val="0"/>
          <w:marTop w:val="67"/>
          <w:marBottom w:val="0"/>
          <w:divBdr>
            <w:top w:val="none" w:sz="0" w:space="0" w:color="auto"/>
            <w:left w:val="none" w:sz="0" w:space="0" w:color="auto"/>
            <w:bottom w:val="none" w:sz="0" w:space="0" w:color="auto"/>
            <w:right w:val="none" w:sz="0" w:space="0" w:color="auto"/>
          </w:divBdr>
        </w:div>
        <w:div w:id="783767074">
          <w:marLeft w:val="1800"/>
          <w:marRight w:val="0"/>
          <w:marTop w:val="58"/>
          <w:marBottom w:val="0"/>
          <w:divBdr>
            <w:top w:val="none" w:sz="0" w:space="0" w:color="auto"/>
            <w:left w:val="none" w:sz="0" w:space="0" w:color="auto"/>
            <w:bottom w:val="none" w:sz="0" w:space="0" w:color="auto"/>
            <w:right w:val="none" w:sz="0" w:space="0" w:color="auto"/>
          </w:divBdr>
        </w:div>
        <w:div w:id="411126897">
          <w:marLeft w:val="2520"/>
          <w:marRight w:val="0"/>
          <w:marTop w:val="53"/>
          <w:marBottom w:val="0"/>
          <w:divBdr>
            <w:top w:val="none" w:sz="0" w:space="0" w:color="auto"/>
            <w:left w:val="none" w:sz="0" w:space="0" w:color="auto"/>
            <w:bottom w:val="none" w:sz="0" w:space="0" w:color="auto"/>
            <w:right w:val="none" w:sz="0" w:space="0" w:color="auto"/>
          </w:divBdr>
        </w:div>
        <w:div w:id="1840657518">
          <w:marLeft w:val="2520"/>
          <w:marRight w:val="0"/>
          <w:marTop w:val="53"/>
          <w:marBottom w:val="0"/>
          <w:divBdr>
            <w:top w:val="none" w:sz="0" w:space="0" w:color="auto"/>
            <w:left w:val="none" w:sz="0" w:space="0" w:color="auto"/>
            <w:bottom w:val="none" w:sz="0" w:space="0" w:color="auto"/>
            <w:right w:val="none" w:sz="0" w:space="0" w:color="auto"/>
          </w:divBdr>
        </w:div>
        <w:div w:id="1261452707">
          <w:marLeft w:val="1800"/>
          <w:marRight w:val="0"/>
          <w:marTop w:val="58"/>
          <w:marBottom w:val="0"/>
          <w:divBdr>
            <w:top w:val="none" w:sz="0" w:space="0" w:color="auto"/>
            <w:left w:val="none" w:sz="0" w:space="0" w:color="auto"/>
            <w:bottom w:val="none" w:sz="0" w:space="0" w:color="auto"/>
            <w:right w:val="none" w:sz="0" w:space="0" w:color="auto"/>
          </w:divBdr>
        </w:div>
        <w:div w:id="1336033455">
          <w:marLeft w:val="2520"/>
          <w:marRight w:val="0"/>
          <w:marTop w:val="53"/>
          <w:marBottom w:val="0"/>
          <w:divBdr>
            <w:top w:val="none" w:sz="0" w:space="0" w:color="auto"/>
            <w:left w:val="none" w:sz="0" w:space="0" w:color="auto"/>
            <w:bottom w:val="none" w:sz="0" w:space="0" w:color="auto"/>
            <w:right w:val="none" w:sz="0" w:space="0" w:color="auto"/>
          </w:divBdr>
        </w:div>
        <w:div w:id="1490097150">
          <w:marLeft w:val="1166"/>
          <w:marRight w:val="0"/>
          <w:marTop w:val="67"/>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6759848">
      <w:bodyDiv w:val="1"/>
      <w:marLeft w:val="0"/>
      <w:marRight w:val="0"/>
      <w:marTop w:val="0"/>
      <w:marBottom w:val="0"/>
      <w:divBdr>
        <w:top w:val="none" w:sz="0" w:space="0" w:color="auto"/>
        <w:left w:val="none" w:sz="0" w:space="0" w:color="auto"/>
        <w:bottom w:val="none" w:sz="0" w:space="0" w:color="auto"/>
        <w:right w:val="none" w:sz="0" w:space="0" w:color="auto"/>
      </w:divBdr>
      <w:divsChild>
        <w:div w:id="18364277">
          <w:marLeft w:val="518"/>
          <w:marRight w:val="0"/>
          <w:marTop w:val="0"/>
          <w:marBottom w:val="120"/>
          <w:divBdr>
            <w:top w:val="none" w:sz="0" w:space="0" w:color="auto"/>
            <w:left w:val="none" w:sz="0" w:space="0" w:color="auto"/>
            <w:bottom w:val="none" w:sz="0" w:space="0" w:color="auto"/>
            <w:right w:val="none" w:sz="0" w:space="0" w:color="auto"/>
          </w:divBdr>
        </w:div>
        <w:div w:id="1761171318">
          <w:marLeft w:val="288"/>
          <w:marRight w:val="0"/>
          <w:marTop w:val="0"/>
          <w:marBottom w:val="12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8769047">
      <w:bodyDiv w:val="1"/>
      <w:marLeft w:val="0"/>
      <w:marRight w:val="0"/>
      <w:marTop w:val="0"/>
      <w:marBottom w:val="0"/>
      <w:divBdr>
        <w:top w:val="none" w:sz="0" w:space="0" w:color="auto"/>
        <w:left w:val="none" w:sz="0" w:space="0" w:color="auto"/>
        <w:bottom w:val="none" w:sz="0" w:space="0" w:color="auto"/>
        <w:right w:val="none" w:sz="0" w:space="0" w:color="auto"/>
      </w:divBdr>
    </w:div>
    <w:div w:id="391582507">
      <w:bodyDiv w:val="1"/>
      <w:marLeft w:val="0"/>
      <w:marRight w:val="0"/>
      <w:marTop w:val="0"/>
      <w:marBottom w:val="0"/>
      <w:divBdr>
        <w:top w:val="none" w:sz="0" w:space="0" w:color="auto"/>
        <w:left w:val="none" w:sz="0" w:space="0" w:color="auto"/>
        <w:bottom w:val="none" w:sz="0" w:space="0" w:color="auto"/>
        <w:right w:val="none" w:sz="0" w:space="0" w:color="auto"/>
      </w:divBdr>
      <w:divsChild>
        <w:div w:id="159395542">
          <w:marLeft w:val="0"/>
          <w:marRight w:val="0"/>
          <w:marTop w:val="0"/>
          <w:marBottom w:val="0"/>
          <w:divBdr>
            <w:top w:val="none" w:sz="0" w:space="0" w:color="auto"/>
            <w:left w:val="none" w:sz="0" w:space="0" w:color="auto"/>
            <w:bottom w:val="none" w:sz="0" w:space="0" w:color="auto"/>
            <w:right w:val="none" w:sz="0" w:space="0" w:color="auto"/>
          </w:divBdr>
          <w:divsChild>
            <w:div w:id="295645618">
              <w:marLeft w:val="0"/>
              <w:marRight w:val="0"/>
              <w:marTop w:val="0"/>
              <w:marBottom w:val="0"/>
              <w:divBdr>
                <w:top w:val="none" w:sz="0" w:space="0" w:color="auto"/>
                <w:left w:val="none" w:sz="0" w:space="0" w:color="auto"/>
                <w:bottom w:val="none" w:sz="0" w:space="0" w:color="auto"/>
                <w:right w:val="none" w:sz="0" w:space="0" w:color="auto"/>
              </w:divBdr>
            </w:div>
          </w:divsChild>
        </w:div>
        <w:div w:id="983661364">
          <w:marLeft w:val="0"/>
          <w:marRight w:val="0"/>
          <w:marTop w:val="0"/>
          <w:marBottom w:val="0"/>
          <w:divBdr>
            <w:top w:val="none" w:sz="0" w:space="0" w:color="auto"/>
            <w:left w:val="none" w:sz="0" w:space="0" w:color="auto"/>
            <w:bottom w:val="none" w:sz="0" w:space="0" w:color="auto"/>
            <w:right w:val="none" w:sz="0" w:space="0" w:color="auto"/>
          </w:divBdr>
          <w:divsChild>
            <w:div w:id="1253776307">
              <w:marLeft w:val="0"/>
              <w:marRight w:val="0"/>
              <w:marTop w:val="0"/>
              <w:marBottom w:val="0"/>
              <w:divBdr>
                <w:top w:val="none" w:sz="0" w:space="0" w:color="auto"/>
                <w:left w:val="none" w:sz="0" w:space="0" w:color="auto"/>
                <w:bottom w:val="none" w:sz="0" w:space="0" w:color="auto"/>
                <w:right w:val="none" w:sz="0" w:space="0" w:color="auto"/>
              </w:divBdr>
            </w:div>
          </w:divsChild>
        </w:div>
        <w:div w:id="1079181794">
          <w:marLeft w:val="0"/>
          <w:marRight w:val="0"/>
          <w:marTop w:val="0"/>
          <w:marBottom w:val="0"/>
          <w:divBdr>
            <w:top w:val="none" w:sz="0" w:space="0" w:color="auto"/>
            <w:left w:val="none" w:sz="0" w:space="0" w:color="auto"/>
            <w:bottom w:val="none" w:sz="0" w:space="0" w:color="auto"/>
            <w:right w:val="none" w:sz="0" w:space="0" w:color="auto"/>
          </w:divBdr>
          <w:divsChild>
            <w:div w:id="1049307577">
              <w:marLeft w:val="0"/>
              <w:marRight w:val="0"/>
              <w:marTop w:val="0"/>
              <w:marBottom w:val="0"/>
              <w:divBdr>
                <w:top w:val="none" w:sz="0" w:space="0" w:color="auto"/>
                <w:left w:val="none" w:sz="0" w:space="0" w:color="auto"/>
                <w:bottom w:val="none" w:sz="0" w:space="0" w:color="auto"/>
                <w:right w:val="none" w:sz="0" w:space="0" w:color="auto"/>
              </w:divBdr>
            </w:div>
          </w:divsChild>
        </w:div>
        <w:div w:id="1136265994">
          <w:marLeft w:val="0"/>
          <w:marRight w:val="0"/>
          <w:marTop w:val="0"/>
          <w:marBottom w:val="0"/>
          <w:divBdr>
            <w:top w:val="none" w:sz="0" w:space="0" w:color="auto"/>
            <w:left w:val="none" w:sz="0" w:space="0" w:color="auto"/>
            <w:bottom w:val="none" w:sz="0" w:space="0" w:color="auto"/>
            <w:right w:val="none" w:sz="0" w:space="0" w:color="auto"/>
          </w:divBdr>
          <w:divsChild>
            <w:div w:id="838738031">
              <w:marLeft w:val="0"/>
              <w:marRight w:val="0"/>
              <w:marTop w:val="0"/>
              <w:marBottom w:val="0"/>
              <w:divBdr>
                <w:top w:val="none" w:sz="0" w:space="0" w:color="auto"/>
                <w:left w:val="none" w:sz="0" w:space="0" w:color="auto"/>
                <w:bottom w:val="none" w:sz="0" w:space="0" w:color="auto"/>
                <w:right w:val="none" w:sz="0" w:space="0" w:color="auto"/>
              </w:divBdr>
            </w:div>
          </w:divsChild>
        </w:div>
        <w:div w:id="1313557768">
          <w:marLeft w:val="0"/>
          <w:marRight w:val="0"/>
          <w:marTop w:val="0"/>
          <w:marBottom w:val="0"/>
          <w:divBdr>
            <w:top w:val="none" w:sz="0" w:space="0" w:color="auto"/>
            <w:left w:val="none" w:sz="0" w:space="0" w:color="auto"/>
            <w:bottom w:val="none" w:sz="0" w:space="0" w:color="auto"/>
            <w:right w:val="none" w:sz="0" w:space="0" w:color="auto"/>
          </w:divBdr>
          <w:divsChild>
            <w:div w:id="1483430206">
              <w:marLeft w:val="0"/>
              <w:marRight w:val="0"/>
              <w:marTop w:val="0"/>
              <w:marBottom w:val="0"/>
              <w:divBdr>
                <w:top w:val="none" w:sz="0" w:space="0" w:color="auto"/>
                <w:left w:val="none" w:sz="0" w:space="0" w:color="auto"/>
                <w:bottom w:val="none" w:sz="0" w:space="0" w:color="auto"/>
                <w:right w:val="none" w:sz="0" w:space="0" w:color="auto"/>
              </w:divBdr>
            </w:div>
          </w:divsChild>
        </w:div>
        <w:div w:id="1688748644">
          <w:marLeft w:val="0"/>
          <w:marRight w:val="0"/>
          <w:marTop w:val="0"/>
          <w:marBottom w:val="0"/>
          <w:divBdr>
            <w:top w:val="none" w:sz="0" w:space="0" w:color="auto"/>
            <w:left w:val="none" w:sz="0" w:space="0" w:color="auto"/>
            <w:bottom w:val="none" w:sz="0" w:space="0" w:color="auto"/>
            <w:right w:val="none" w:sz="0" w:space="0" w:color="auto"/>
          </w:divBdr>
          <w:divsChild>
            <w:div w:id="1572422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785218">
      <w:bodyDiv w:val="1"/>
      <w:marLeft w:val="0"/>
      <w:marRight w:val="0"/>
      <w:marTop w:val="0"/>
      <w:marBottom w:val="0"/>
      <w:divBdr>
        <w:top w:val="none" w:sz="0" w:space="0" w:color="auto"/>
        <w:left w:val="none" w:sz="0" w:space="0" w:color="auto"/>
        <w:bottom w:val="none" w:sz="0" w:space="0" w:color="auto"/>
        <w:right w:val="none" w:sz="0" w:space="0" w:color="auto"/>
      </w:divBdr>
    </w:div>
    <w:div w:id="423035089">
      <w:bodyDiv w:val="1"/>
      <w:marLeft w:val="0"/>
      <w:marRight w:val="0"/>
      <w:marTop w:val="0"/>
      <w:marBottom w:val="0"/>
      <w:divBdr>
        <w:top w:val="none" w:sz="0" w:space="0" w:color="auto"/>
        <w:left w:val="none" w:sz="0" w:space="0" w:color="auto"/>
        <w:bottom w:val="none" w:sz="0" w:space="0" w:color="auto"/>
        <w:right w:val="none" w:sz="0" w:space="0" w:color="auto"/>
      </w:divBdr>
    </w:div>
    <w:div w:id="430711136">
      <w:bodyDiv w:val="1"/>
      <w:marLeft w:val="0"/>
      <w:marRight w:val="0"/>
      <w:marTop w:val="0"/>
      <w:marBottom w:val="0"/>
      <w:divBdr>
        <w:top w:val="none" w:sz="0" w:space="0" w:color="auto"/>
        <w:left w:val="none" w:sz="0" w:space="0" w:color="auto"/>
        <w:bottom w:val="none" w:sz="0" w:space="0" w:color="auto"/>
        <w:right w:val="none" w:sz="0" w:space="0" w:color="auto"/>
      </w:divBdr>
      <w:divsChild>
        <w:div w:id="1706445193">
          <w:marLeft w:val="0"/>
          <w:marRight w:val="0"/>
          <w:marTop w:val="0"/>
          <w:marBottom w:val="0"/>
          <w:divBdr>
            <w:top w:val="none" w:sz="0" w:space="0" w:color="auto"/>
            <w:left w:val="none" w:sz="0" w:space="0" w:color="auto"/>
            <w:bottom w:val="none" w:sz="0" w:space="0" w:color="auto"/>
            <w:right w:val="none" w:sz="0" w:space="0" w:color="auto"/>
          </w:divBdr>
          <w:divsChild>
            <w:div w:id="1750030798">
              <w:marLeft w:val="0"/>
              <w:marRight w:val="0"/>
              <w:marTop w:val="0"/>
              <w:marBottom w:val="0"/>
              <w:divBdr>
                <w:top w:val="none" w:sz="0" w:space="0" w:color="auto"/>
                <w:left w:val="none" w:sz="0" w:space="0" w:color="auto"/>
                <w:bottom w:val="none" w:sz="0" w:space="0" w:color="auto"/>
                <w:right w:val="none" w:sz="0" w:space="0" w:color="auto"/>
              </w:divBdr>
              <w:divsChild>
                <w:div w:id="2059743628">
                  <w:marLeft w:val="0"/>
                  <w:marRight w:val="0"/>
                  <w:marTop w:val="0"/>
                  <w:marBottom w:val="0"/>
                  <w:divBdr>
                    <w:top w:val="none" w:sz="0" w:space="0" w:color="auto"/>
                    <w:left w:val="none" w:sz="0" w:space="0" w:color="auto"/>
                    <w:bottom w:val="none" w:sz="0" w:space="0" w:color="auto"/>
                    <w:right w:val="none" w:sz="0" w:space="0" w:color="auto"/>
                  </w:divBdr>
                  <w:divsChild>
                    <w:div w:id="950169654">
                      <w:marLeft w:val="0"/>
                      <w:marRight w:val="0"/>
                      <w:marTop w:val="0"/>
                      <w:marBottom w:val="0"/>
                      <w:divBdr>
                        <w:top w:val="none" w:sz="0" w:space="0" w:color="auto"/>
                        <w:left w:val="none" w:sz="0" w:space="0" w:color="auto"/>
                        <w:bottom w:val="none" w:sz="0" w:space="0" w:color="auto"/>
                        <w:right w:val="none" w:sz="0" w:space="0" w:color="auto"/>
                      </w:divBdr>
                      <w:divsChild>
                        <w:div w:id="967516007">
                          <w:marLeft w:val="0"/>
                          <w:marRight w:val="0"/>
                          <w:marTop w:val="0"/>
                          <w:marBottom w:val="0"/>
                          <w:divBdr>
                            <w:top w:val="none" w:sz="0" w:space="0" w:color="auto"/>
                            <w:left w:val="none" w:sz="0" w:space="0" w:color="auto"/>
                            <w:bottom w:val="none" w:sz="0" w:space="0" w:color="auto"/>
                            <w:right w:val="none" w:sz="0" w:space="0" w:color="auto"/>
                          </w:divBdr>
                          <w:divsChild>
                            <w:div w:id="814834163">
                              <w:marLeft w:val="0"/>
                              <w:marRight w:val="0"/>
                              <w:marTop w:val="0"/>
                              <w:marBottom w:val="0"/>
                              <w:divBdr>
                                <w:top w:val="none" w:sz="0" w:space="0" w:color="auto"/>
                                <w:left w:val="none" w:sz="0" w:space="0" w:color="auto"/>
                                <w:bottom w:val="none" w:sz="0" w:space="0" w:color="auto"/>
                                <w:right w:val="none" w:sz="0" w:space="0" w:color="auto"/>
                              </w:divBdr>
                              <w:divsChild>
                                <w:div w:id="546111756">
                                  <w:marLeft w:val="0"/>
                                  <w:marRight w:val="0"/>
                                  <w:marTop w:val="0"/>
                                  <w:marBottom w:val="0"/>
                                  <w:divBdr>
                                    <w:top w:val="none" w:sz="0" w:space="0" w:color="auto"/>
                                    <w:left w:val="none" w:sz="0" w:space="0" w:color="auto"/>
                                    <w:bottom w:val="none" w:sz="0" w:space="0" w:color="auto"/>
                                    <w:right w:val="none" w:sz="0" w:space="0" w:color="auto"/>
                                  </w:divBdr>
                                  <w:divsChild>
                                    <w:div w:id="1349797357">
                                      <w:marLeft w:val="0"/>
                                      <w:marRight w:val="0"/>
                                      <w:marTop w:val="0"/>
                                      <w:marBottom w:val="0"/>
                                      <w:divBdr>
                                        <w:top w:val="none" w:sz="0" w:space="0" w:color="auto"/>
                                        <w:left w:val="none" w:sz="0" w:space="0" w:color="auto"/>
                                        <w:bottom w:val="none" w:sz="0" w:space="0" w:color="auto"/>
                                        <w:right w:val="none" w:sz="0" w:space="0" w:color="auto"/>
                                      </w:divBdr>
                                      <w:divsChild>
                                        <w:div w:id="948271064">
                                          <w:marLeft w:val="0"/>
                                          <w:marRight w:val="0"/>
                                          <w:marTop w:val="0"/>
                                          <w:marBottom w:val="0"/>
                                          <w:divBdr>
                                            <w:top w:val="none" w:sz="0" w:space="0" w:color="auto"/>
                                            <w:left w:val="none" w:sz="0" w:space="0" w:color="auto"/>
                                            <w:bottom w:val="none" w:sz="0" w:space="0" w:color="auto"/>
                                            <w:right w:val="none" w:sz="0" w:space="0" w:color="auto"/>
                                          </w:divBdr>
                                          <w:divsChild>
                                            <w:div w:id="1264604794">
                                              <w:marLeft w:val="0"/>
                                              <w:marRight w:val="0"/>
                                              <w:marTop w:val="0"/>
                                              <w:marBottom w:val="0"/>
                                              <w:divBdr>
                                                <w:top w:val="none" w:sz="0" w:space="0" w:color="auto"/>
                                                <w:left w:val="none" w:sz="0" w:space="0" w:color="auto"/>
                                                <w:bottom w:val="none" w:sz="0" w:space="0" w:color="auto"/>
                                                <w:right w:val="none" w:sz="0" w:space="0" w:color="auto"/>
                                              </w:divBdr>
                                              <w:divsChild>
                                                <w:div w:id="157112541">
                                                  <w:marLeft w:val="0"/>
                                                  <w:marRight w:val="0"/>
                                                  <w:marTop w:val="0"/>
                                                  <w:marBottom w:val="0"/>
                                                  <w:divBdr>
                                                    <w:top w:val="none" w:sz="0" w:space="0" w:color="auto"/>
                                                    <w:left w:val="none" w:sz="0" w:space="0" w:color="auto"/>
                                                    <w:bottom w:val="none" w:sz="0" w:space="0" w:color="auto"/>
                                                    <w:right w:val="none" w:sz="0" w:space="0" w:color="auto"/>
                                                  </w:divBdr>
                                                  <w:divsChild>
                                                    <w:div w:id="1512837231">
                                                      <w:marLeft w:val="0"/>
                                                      <w:marRight w:val="0"/>
                                                      <w:marTop w:val="0"/>
                                                      <w:marBottom w:val="0"/>
                                                      <w:divBdr>
                                                        <w:top w:val="none" w:sz="0" w:space="0" w:color="auto"/>
                                                        <w:left w:val="none" w:sz="0" w:space="0" w:color="auto"/>
                                                        <w:bottom w:val="none" w:sz="0" w:space="0" w:color="auto"/>
                                                        <w:right w:val="none" w:sz="0" w:space="0" w:color="auto"/>
                                                      </w:divBdr>
                                                      <w:divsChild>
                                                        <w:div w:id="526213623">
                                                          <w:marLeft w:val="0"/>
                                                          <w:marRight w:val="0"/>
                                                          <w:marTop w:val="0"/>
                                                          <w:marBottom w:val="0"/>
                                                          <w:divBdr>
                                                            <w:top w:val="none" w:sz="0" w:space="0" w:color="auto"/>
                                                            <w:left w:val="none" w:sz="0" w:space="0" w:color="auto"/>
                                                            <w:bottom w:val="none" w:sz="0" w:space="0" w:color="auto"/>
                                                            <w:right w:val="none" w:sz="0" w:space="0" w:color="auto"/>
                                                          </w:divBdr>
                                                          <w:divsChild>
                                                            <w:div w:id="413669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42920577">
      <w:bodyDiv w:val="1"/>
      <w:marLeft w:val="0"/>
      <w:marRight w:val="0"/>
      <w:marTop w:val="0"/>
      <w:marBottom w:val="0"/>
      <w:divBdr>
        <w:top w:val="none" w:sz="0" w:space="0" w:color="auto"/>
        <w:left w:val="none" w:sz="0" w:space="0" w:color="auto"/>
        <w:bottom w:val="none" w:sz="0" w:space="0" w:color="auto"/>
        <w:right w:val="none" w:sz="0" w:space="0" w:color="auto"/>
      </w:divBdr>
    </w:div>
    <w:div w:id="464590063">
      <w:bodyDiv w:val="1"/>
      <w:marLeft w:val="0"/>
      <w:marRight w:val="0"/>
      <w:marTop w:val="0"/>
      <w:marBottom w:val="0"/>
      <w:divBdr>
        <w:top w:val="none" w:sz="0" w:space="0" w:color="auto"/>
        <w:left w:val="none" w:sz="0" w:space="0" w:color="auto"/>
        <w:bottom w:val="none" w:sz="0" w:space="0" w:color="auto"/>
        <w:right w:val="none" w:sz="0" w:space="0" w:color="auto"/>
      </w:divBdr>
    </w:div>
    <w:div w:id="508059518">
      <w:bodyDiv w:val="1"/>
      <w:marLeft w:val="0"/>
      <w:marRight w:val="0"/>
      <w:marTop w:val="0"/>
      <w:marBottom w:val="0"/>
      <w:divBdr>
        <w:top w:val="none" w:sz="0" w:space="0" w:color="auto"/>
        <w:left w:val="none" w:sz="0" w:space="0" w:color="auto"/>
        <w:bottom w:val="none" w:sz="0" w:space="0" w:color="auto"/>
        <w:right w:val="none" w:sz="0" w:space="0" w:color="auto"/>
      </w:divBdr>
      <w:divsChild>
        <w:div w:id="1512138520">
          <w:marLeft w:val="518"/>
          <w:marRight w:val="0"/>
          <w:marTop w:val="0"/>
          <w:marBottom w:val="120"/>
          <w:divBdr>
            <w:top w:val="none" w:sz="0" w:space="0" w:color="auto"/>
            <w:left w:val="none" w:sz="0" w:space="0" w:color="auto"/>
            <w:bottom w:val="none" w:sz="0" w:space="0" w:color="auto"/>
            <w:right w:val="none" w:sz="0" w:space="0" w:color="auto"/>
          </w:divBdr>
        </w:div>
      </w:divsChild>
    </w:div>
    <w:div w:id="512886366">
      <w:bodyDiv w:val="1"/>
      <w:marLeft w:val="0"/>
      <w:marRight w:val="0"/>
      <w:marTop w:val="0"/>
      <w:marBottom w:val="0"/>
      <w:divBdr>
        <w:top w:val="none" w:sz="0" w:space="0" w:color="auto"/>
        <w:left w:val="none" w:sz="0" w:space="0" w:color="auto"/>
        <w:bottom w:val="none" w:sz="0" w:space="0" w:color="auto"/>
        <w:right w:val="none" w:sz="0" w:space="0" w:color="auto"/>
      </w:divBdr>
      <w:divsChild>
        <w:div w:id="298415560">
          <w:marLeft w:val="475"/>
          <w:marRight w:val="0"/>
          <w:marTop w:val="0"/>
          <w:marBottom w:val="0"/>
          <w:divBdr>
            <w:top w:val="none" w:sz="0" w:space="0" w:color="auto"/>
            <w:left w:val="none" w:sz="0" w:space="0" w:color="auto"/>
            <w:bottom w:val="none" w:sz="0" w:space="0" w:color="auto"/>
            <w:right w:val="none" w:sz="0" w:space="0" w:color="auto"/>
          </w:divBdr>
        </w:div>
        <w:div w:id="314920810">
          <w:marLeft w:val="475"/>
          <w:marRight w:val="0"/>
          <w:marTop w:val="0"/>
          <w:marBottom w:val="0"/>
          <w:divBdr>
            <w:top w:val="none" w:sz="0" w:space="0" w:color="auto"/>
            <w:left w:val="none" w:sz="0" w:space="0" w:color="auto"/>
            <w:bottom w:val="none" w:sz="0" w:space="0" w:color="auto"/>
            <w:right w:val="none" w:sz="0" w:space="0" w:color="auto"/>
          </w:divBdr>
        </w:div>
        <w:div w:id="462386375">
          <w:marLeft w:val="475"/>
          <w:marRight w:val="0"/>
          <w:marTop w:val="0"/>
          <w:marBottom w:val="0"/>
          <w:divBdr>
            <w:top w:val="none" w:sz="0" w:space="0" w:color="auto"/>
            <w:left w:val="none" w:sz="0" w:space="0" w:color="auto"/>
            <w:bottom w:val="none" w:sz="0" w:space="0" w:color="auto"/>
            <w:right w:val="none" w:sz="0" w:space="0" w:color="auto"/>
          </w:divBdr>
        </w:div>
      </w:divsChild>
    </w:div>
    <w:div w:id="525673803">
      <w:bodyDiv w:val="1"/>
      <w:marLeft w:val="0"/>
      <w:marRight w:val="0"/>
      <w:marTop w:val="0"/>
      <w:marBottom w:val="0"/>
      <w:divBdr>
        <w:top w:val="none" w:sz="0" w:space="0" w:color="auto"/>
        <w:left w:val="none" w:sz="0" w:space="0" w:color="auto"/>
        <w:bottom w:val="none" w:sz="0" w:space="0" w:color="auto"/>
        <w:right w:val="none" w:sz="0" w:space="0" w:color="auto"/>
      </w:divBdr>
    </w:div>
    <w:div w:id="540947088">
      <w:bodyDiv w:val="1"/>
      <w:marLeft w:val="0"/>
      <w:marRight w:val="0"/>
      <w:marTop w:val="0"/>
      <w:marBottom w:val="0"/>
      <w:divBdr>
        <w:top w:val="none" w:sz="0" w:space="0" w:color="auto"/>
        <w:left w:val="none" w:sz="0" w:space="0" w:color="auto"/>
        <w:bottom w:val="none" w:sz="0" w:space="0" w:color="auto"/>
        <w:right w:val="none" w:sz="0" w:space="0" w:color="auto"/>
      </w:divBdr>
      <w:divsChild>
        <w:div w:id="2095468200">
          <w:marLeft w:val="1166"/>
          <w:marRight w:val="0"/>
          <w:marTop w:val="120"/>
          <w:marBottom w:val="0"/>
          <w:divBdr>
            <w:top w:val="none" w:sz="0" w:space="0" w:color="auto"/>
            <w:left w:val="none" w:sz="0" w:space="0" w:color="auto"/>
            <w:bottom w:val="none" w:sz="0" w:space="0" w:color="auto"/>
            <w:right w:val="none" w:sz="0" w:space="0" w:color="auto"/>
          </w:divBdr>
        </w:div>
      </w:divsChild>
    </w:div>
    <w:div w:id="55216169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2392929">
      <w:bodyDiv w:val="1"/>
      <w:marLeft w:val="0"/>
      <w:marRight w:val="0"/>
      <w:marTop w:val="0"/>
      <w:marBottom w:val="0"/>
      <w:divBdr>
        <w:top w:val="none" w:sz="0" w:space="0" w:color="auto"/>
        <w:left w:val="none" w:sz="0" w:space="0" w:color="auto"/>
        <w:bottom w:val="none" w:sz="0" w:space="0" w:color="auto"/>
        <w:right w:val="none" w:sz="0" w:space="0" w:color="auto"/>
      </w:divBdr>
      <w:divsChild>
        <w:div w:id="1357542883">
          <w:marLeft w:val="0"/>
          <w:marRight w:val="0"/>
          <w:marTop w:val="0"/>
          <w:marBottom w:val="0"/>
          <w:divBdr>
            <w:top w:val="none" w:sz="0" w:space="0" w:color="auto"/>
            <w:left w:val="none" w:sz="0" w:space="0" w:color="auto"/>
            <w:bottom w:val="none" w:sz="0" w:space="0" w:color="auto"/>
            <w:right w:val="none" w:sz="0" w:space="0" w:color="auto"/>
          </w:divBdr>
          <w:divsChild>
            <w:div w:id="322509050">
              <w:marLeft w:val="0"/>
              <w:marRight w:val="0"/>
              <w:marTop w:val="0"/>
              <w:marBottom w:val="0"/>
              <w:divBdr>
                <w:top w:val="none" w:sz="0" w:space="0" w:color="auto"/>
                <w:left w:val="none" w:sz="0" w:space="0" w:color="auto"/>
                <w:bottom w:val="none" w:sz="0" w:space="0" w:color="auto"/>
                <w:right w:val="none" w:sz="0" w:space="0" w:color="auto"/>
              </w:divBdr>
            </w:div>
          </w:divsChild>
        </w:div>
        <w:div w:id="1954508475">
          <w:marLeft w:val="0"/>
          <w:marRight w:val="0"/>
          <w:marTop w:val="0"/>
          <w:marBottom w:val="0"/>
          <w:divBdr>
            <w:top w:val="none" w:sz="0" w:space="0" w:color="auto"/>
            <w:left w:val="none" w:sz="0" w:space="0" w:color="auto"/>
            <w:bottom w:val="none" w:sz="0" w:space="0" w:color="auto"/>
            <w:right w:val="none" w:sz="0" w:space="0" w:color="auto"/>
          </w:divBdr>
          <w:divsChild>
            <w:div w:id="73315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9061">
      <w:bodyDiv w:val="1"/>
      <w:marLeft w:val="0"/>
      <w:marRight w:val="0"/>
      <w:marTop w:val="0"/>
      <w:marBottom w:val="0"/>
      <w:divBdr>
        <w:top w:val="none" w:sz="0" w:space="0" w:color="auto"/>
        <w:left w:val="none" w:sz="0" w:space="0" w:color="auto"/>
        <w:bottom w:val="none" w:sz="0" w:space="0" w:color="auto"/>
        <w:right w:val="none" w:sz="0" w:space="0" w:color="auto"/>
      </w:divBdr>
    </w:div>
    <w:div w:id="697319758">
      <w:bodyDiv w:val="1"/>
      <w:marLeft w:val="0"/>
      <w:marRight w:val="0"/>
      <w:marTop w:val="0"/>
      <w:marBottom w:val="0"/>
      <w:divBdr>
        <w:top w:val="none" w:sz="0" w:space="0" w:color="auto"/>
        <w:left w:val="none" w:sz="0" w:space="0" w:color="auto"/>
        <w:bottom w:val="none" w:sz="0" w:space="0" w:color="auto"/>
        <w:right w:val="none" w:sz="0" w:space="0" w:color="auto"/>
      </w:divBdr>
    </w:div>
    <w:div w:id="699015030">
      <w:bodyDiv w:val="1"/>
      <w:marLeft w:val="0"/>
      <w:marRight w:val="0"/>
      <w:marTop w:val="0"/>
      <w:marBottom w:val="0"/>
      <w:divBdr>
        <w:top w:val="none" w:sz="0" w:space="0" w:color="auto"/>
        <w:left w:val="none" w:sz="0" w:space="0" w:color="auto"/>
        <w:bottom w:val="none" w:sz="0" w:space="0" w:color="auto"/>
        <w:right w:val="none" w:sz="0" w:space="0" w:color="auto"/>
      </w:divBdr>
    </w:div>
    <w:div w:id="706684849">
      <w:bodyDiv w:val="1"/>
      <w:marLeft w:val="0"/>
      <w:marRight w:val="0"/>
      <w:marTop w:val="0"/>
      <w:marBottom w:val="0"/>
      <w:divBdr>
        <w:top w:val="none" w:sz="0" w:space="0" w:color="auto"/>
        <w:left w:val="none" w:sz="0" w:space="0" w:color="auto"/>
        <w:bottom w:val="none" w:sz="0" w:space="0" w:color="auto"/>
        <w:right w:val="none" w:sz="0" w:space="0" w:color="auto"/>
      </w:divBdr>
    </w:div>
    <w:div w:id="728842100">
      <w:bodyDiv w:val="1"/>
      <w:marLeft w:val="0"/>
      <w:marRight w:val="0"/>
      <w:marTop w:val="0"/>
      <w:marBottom w:val="0"/>
      <w:divBdr>
        <w:top w:val="none" w:sz="0" w:space="0" w:color="auto"/>
        <w:left w:val="none" w:sz="0" w:space="0" w:color="auto"/>
        <w:bottom w:val="none" w:sz="0" w:space="0" w:color="auto"/>
        <w:right w:val="none" w:sz="0" w:space="0" w:color="auto"/>
      </w:divBdr>
      <w:divsChild>
        <w:div w:id="610746712">
          <w:marLeft w:val="288"/>
          <w:marRight w:val="0"/>
          <w:marTop w:val="0"/>
          <w:marBottom w:val="120"/>
          <w:divBdr>
            <w:top w:val="none" w:sz="0" w:space="0" w:color="auto"/>
            <w:left w:val="none" w:sz="0" w:space="0" w:color="auto"/>
            <w:bottom w:val="none" w:sz="0" w:space="0" w:color="auto"/>
            <w:right w:val="none" w:sz="0" w:space="0" w:color="auto"/>
          </w:divBdr>
        </w:div>
        <w:div w:id="353309554">
          <w:marLeft w:val="518"/>
          <w:marRight w:val="0"/>
          <w:marTop w:val="0"/>
          <w:marBottom w:val="120"/>
          <w:divBdr>
            <w:top w:val="none" w:sz="0" w:space="0" w:color="auto"/>
            <w:left w:val="none" w:sz="0" w:space="0" w:color="auto"/>
            <w:bottom w:val="none" w:sz="0" w:space="0" w:color="auto"/>
            <w:right w:val="none" w:sz="0" w:space="0" w:color="auto"/>
          </w:divBdr>
        </w:div>
        <w:div w:id="1161389468">
          <w:marLeft w:val="518"/>
          <w:marRight w:val="0"/>
          <w:marTop w:val="0"/>
          <w:marBottom w:val="120"/>
          <w:divBdr>
            <w:top w:val="none" w:sz="0" w:space="0" w:color="auto"/>
            <w:left w:val="none" w:sz="0" w:space="0" w:color="auto"/>
            <w:bottom w:val="none" w:sz="0" w:space="0" w:color="auto"/>
            <w:right w:val="none" w:sz="0" w:space="0" w:color="auto"/>
          </w:divBdr>
        </w:div>
      </w:divsChild>
    </w:div>
    <w:div w:id="736825949">
      <w:bodyDiv w:val="1"/>
      <w:marLeft w:val="0"/>
      <w:marRight w:val="0"/>
      <w:marTop w:val="0"/>
      <w:marBottom w:val="0"/>
      <w:divBdr>
        <w:top w:val="none" w:sz="0" w:space="0" w:color="auto"/>
        <w:left w:val="none" w:sz="0" w:space="0" w:color="auto"/>
        <w:bottom w:val="none" w:sz="0" w:space="0" w:color="auto"/>
        <w:right w:val="none" w:sz="0" w:space="0" w:color="auto"/>
      </w:divBdr>
      <w:divsChild>
        <w:div w:id="424543727">
          <w:marLeft w:val="0"/>
          <w:marRight w:val="0"/>
          <w:marTop w:val="0"/>
          <w:marBottom w:val="0"/>
          <w:divBdr>
            <w:top w:val="none" w:sz="0" w:space="0" w:color="auto"/>
            <w:left w:val="none" w:sz="0" w:space="0" w:color="auto"/>
            <w:bottom w:val="none" w:sz="0" w:space="0" w:color="auto"/>
            <w:right w:val="none" w:sz="0" w:space="0" w:color="auto"/>
          </w:divBdr>
          <w:divsChild>
            <w:div w:id="302851165">
              <w:marLeft w:val="0"/>
              <w:marRight w:val="0"/>
              <w:marTop w:val="0"/>
              <w:marBottom w:val="0"/>
              <w:divBdr>
                <w:top w:val="none" w:sz="0" w:space="0" w:color="auto"/>
                <w:left w:val="none" w:sz="0" w:space="0" w:color="auto"/>
                <w:bottom w:val="none" w:sz="0" w:space="0" w:color="auto"/>
                <w:right w:val="none" w:sz="0" w:space="0" w:color="auto"/>
              </w:divBdr>
              <w:divsChild>
                <w:div w:id="1572697490">
                  <w:marLeft w:val="0"/>
                  <w:marRight w:val="0"/>
                  <w:marTop w:val="0"/>
                  <w:marBottom w:val="0"/>
                  <w:divBdr>
                    <w:top w:val="none" w:sz="0" w:space="0" w:color="auto"/>
                    <w:left w:val="none" w:sz="0" w:space="0" w:color="auto"/>
                    <w:bottom w:val="none" w:sz="0" w:space="0" w:color="auto"/>
                    <w:right w:val="none" w:sz="0" w:space="0" w:color="auto"/>
                  </w:divBdr>
                  <w:divsChild>
                    <w:div w:id="1336497984">
                      <w:marLeft w:val="0"/>
                      <w:marRight w:val="0"/>
                      <w:marTop w:val="0"/>
                      <w:marBottom w:val="0"/>
                      <w:divBdr>
                        <w:top w:val="none" w:sz="0" w:space="0" w:color="auto"/>
                        <w:left w:val="none" w:sz="0" w:space="0" w:color="auto"/>
                        <w:bottom w:val="none" w:sz="0" w:space="0" w:color="auto"/>
                        <w:right w:val="none" w:sz="0" w:space="0" w:color="auto"/>
                      </w:divBdr>
                      <w:divsChild>
                        <w:div w:id="70665333">
                          <w:marLeft w:val="0"/>
                          <w:marRight w:val="0"/>
                          <w:marTop w:val="0"/>
                          <w:marBottom w:val="0"/>
                          <w:divBdr>
                            <w:top w:val="none" w:sz="0" w:space="0" w:color="auto"/>
                            <w:left w:val="none" w:sz="0" w:space="0" w:color="auto"/>
                            <w:bottom w:val="none" w:sz="0" w:space="0" w:color="auto"/>
                            <w:right w:val="none" w:sz="0" w:space="0" w:color="auto"/>
                          </w:divBdr>
                          <w:divsChild>
                            <w:div w:id="2039618842">
                              <w:marLeft w:val="0"/>
                              <w:marRight w:val="0"/>
                              <w:marTop w:val="75"/>
                              <w:marBottom w:val="75"/>
                              <w:divBdr>
                                <w:top w:val="none" w:sz="0" w:space="0" w:color="auto"/>
                                <w:left w:val="none" w:sz="0" w:space="0" w:color="auto"/>
                                <w:bottom w:val="none" w:sz="0" w:space="0" w:color="auto"/>
                                <w:right w:val="none" w:sz="0" w:space="0" w:color="auto"/>
                              </w:divBdr>
                              <w:divsChild>
                                <w:div w:id="515703261">
                                  <w:marLeft w:val="0"/>
                                  <w:marRight w:val="0"/>
                                  <w:marTop w:val="0"/>
                                  <w:marBottom w:val="0"/>
                                  <w:divBdr>
                                    <w:top w:val="none" w:sz="0" w:space="0" w:color="auto"/>
                                    <w:left w:val="none" w:sz="0" w:space="0" w:color="auto"/>
                                    <w:bottom w:val="none" w:sz="0" w:space="0" w:color="auto"/>
                                    <w:right w:val="none" w:sz="0" w:space="0" w:color="auto"/>
                                  </w:divBdr>
                                  <w:divsChild>
                                    <w:div w:id="20203946">
                                      <w:marLeft w:val="0"/>
                                      <w:marRight w:val="0"/>
                                      <w:marTop w:val="0"/>
                                      <w:marBottom w:val="0"/>
                                      <w:divBdr>
                                        <w:top w:val="none" w:sz="0" w:space="0" w:color="auto"/>
                                        <w:left w:val="none" w:sz="0" w:space="0" w:color="auto"/>
                                        <w:bottom w:val="none" w:sz="0" w:space="0" w:color="auto"/>
                                        <w:right w:val="none" w:sz="0" w:space="0" w:color="auto"/>
                                      </w:divBdr>
                                      <w:divsChild>
                                        <w:div w:id="1328823657">
                                          <w:marLeft w:val="0"/>
                                          <w:marRight w:val="0"/>
                                          <w:marTop w:val="0"/>
                                          <w:marBottom w:val="75"/>
                                          <w:divBdr>
                                            <w:top w:val="none" w:sz="0" w:space="0" w:color="auto"/>
                                            <w:left w:val="none" w:sz="0" w:space="0" w:color="auto"/>
                                            <w:bottom w:val="none" w:sz="0" w:space="0" w:color="auto"/>
                                            <w:right w:val="none" w:sz="0" w:space="0" w:color="auto"/>
                                          </w:divBdr>
                                          <w:divsChild>
                                            <w:div w:id="1357347350">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3083">
      <w:bodyDiv w:val="1"/>
      <w:marLeft w:val="0"/>
      <w:marRight w:val="0"/>
      <w:marTop w:val="0"/>
      <w:marBottom w:val="0"/>
      <w:divBdr>
        <w:top w:val="none" w:sz="0" w:space="0" w:color="auto"/>
        <w:left w:val="none" w:sz="0" w:space="0" w:color="auto"/>
        <w:bottom w:val="none" w:sz="0" w:space="0" w:color="auto"/>
        <w:right w:val="none" w:sz="0" w:space="0" w:color="auto"/>
      </w:divBdr>
    </w:div>
    <w:div w:id="850949911">
      <w:bodyDiv w:val="1"/>
      <w:marLeft w:val="0"/>
      <w:marRight w:val="0"/>
      <w:marTop w:val="0"/>
      <w:marBottom w:val="0"/>
      <w:divBdr>
        <w:top w:val="none" w:sz="0" w:space="0" w:color="auto"/>
        <w:left w:val="none" w:sz="0" w:space="0" w:color="auto"/>
        <w:bottom w:val="none" w:sz="0" w:space="0" w:color="auto"/>
        <w:right w:val="none" w:sz="0" w:space="0" w:color="auto"/>
      </w:divBdr>
    </w:div>
    <w:div w:id="854075923">
      <w:bodyDiv w:val="1"/>
      <w:marLeft w:val="0"/>
      <w:marRight w:val="0"/>
      <w:marTop w:val="0"/>
      <w:marBottom w:val="0"/>
      <w:divBdr>
        <w:top w:val="none" w:sz="0" w:space="0" w:color="auto"/>
        <w:left w:val="none" w:sz="0" w:space="0" w:color="auto"/>
        <w:bottom w:val="none" w:sz="0" w:space="0" w:color="auto"/>
        <w:right w:val="none" w:sz="0" w:space="0" w:color="auto"/>
      </w:divBdr>
      <w:divsChild>
        <w:div w:id="1974362303">
          <w:marLeft w:val="1987"/>
          <w:marRight w:val="0"/>
          <w:marTop w:val="120"/>
          <w:marBottom w:val="120"/>
          <w:divBdr>
            <w:top w:val="none" w:sz="0" w:space="0" w:color="auto"/>
            <w:left w:val="none" w:sz="0" w:space="0" w:color="auto"/>
            <w:bottom w:val="none" w:sz="0" w:space="0" w:color="auto"/>
            <w:right w:val="none" w:sz="0" w:space="0" w:color="auto"/>
          </w:divBdr>
        </w:div>
      </w:divsChild>
    </w:div>
    <w:div w:id="855774807">
      <w:bodyDiv w:val="1"/>
      <w:marLeft w:val="0"/>
      <w:marRight w:val="0"/>
      <w:marTop w:val="0"/>
      <w:marBottom w:val="0"/>
      <w:divBdr>
        <w:top w:val="none" w:sz="0" w:space="0" w:color="auto"/>
        <w:left w:val="none" w:sz="0" w:space="0" w:color="auto"/>
        <w:bottom w:val="none" w:sz="0" w:space="0" w:color="auto"/>
        <w:right w:val="none" w:sz="0" w:space="0" w:color="auto"/>
      </w:divBdr>
    </w:div>
    <w:div w:id="871962447">
      <w:bodyDiv w:val="1"/>
      <w:marLeft w:val="0"/>
      <w:marRight w:val="0"/>
      <w:marTop w:val="0"/>
      <w:marBottom w:val="0"/>
      <w:divBdr>
        <w:top w:val="none" w:sz="0" w:space="0" w:color="auto"/>
        <w:left w:val="none" w:sz="0" w:space="0" w:color="auto"/>
        <w:bottom w:val="none" w:sz="0" w:space="0" w:color="auto"/>
        <w:right w:val="none" w:sz="0" w:space="0" w:color="auto"/>
      </w:divBdr>
      <w:divsChild>
        <w:div w:id="842671155">
          <w:marLeft w:val="288"/>
          <w:marRight w:val="0"/>
          <w:marTop w:val="0"/>
          <w:marBottom w:val="120"/>
          <w:divBdr>
            <w:top w:val="none" w:sz="0" w:space="0" w:color="auto"/>
            <w:left w:val="none" w:sz="0" w:space="0" w:color="auto"/>
            <w:bottom w:val="none" w:sz="0" w:space="0" w:color="auto"/>
            <w:right w:val="none" w:sz="0" w:space="0" w:color="auto"/>
          </w:divBdr>
        </w:div>
        <w:div w:id="336882896">
          <w:marLeft w:val="518"/>
          <w:marRight w:val="0"/>
          <w:marTop w:val="0"/>
          <w:marBottom w:val="120"/>
          <w:divBdr>
            <w:top w:val="none" w:sz="0" w:space="0" w:color="auto"/>
            <w:left w:val="none" w:sz="0" w:space="0" w:color="auto"/>
            <w:bottom w:val="none" w:sz="0" w:space="0" w:color="auto"/>
            <w:right w:val="none" w:sz="0" w:space="0" w:color="auto"/>
          </w:divBdr>
        </w:div>
        <w:div w:id="1284924116">
          <w:marLeft w:val="518"/>
          <w:marRight w:val="0"/>
          <w:marTop w:val="0"/>
          <w:marBottom w:val="120"/>
          <w:divBdr>
            <w:top w:val="none" w:sz="0" w:space="0" w:color="auto"/>
            <w:left w:val="none" w:sz="0" w:space="0" w:color="auto"/>
            <w:bottom w:val="none" w:sz="0" w:space="0" w:color="auto"/>
            <w:right w:val="none" w:sz="0" w:space="0" w:color="auto"/>
          </w:divBdr>
        </w:div>
        <w:div w:id="231740225">
          <w:marLeft w:val="518"/>
          <w:marRight w:val="0"/>
          <w:marTop w:val="0"/>
          <w:marBottom w:val="120"/>
          <w:divBdr>
            <w:top w:val="none" w:sz="0" w:space="0" w:color="auto"/>
            <w:left w:val="none" w:sz="0" w:space="0" w:color="auto"/>
            <w:bottom w:val="none" w:sz="0" w:space="0" w:color="auto"/>
            <w:right w:val="none" w:sz="0" w:space="0" w:color="auto"/>
          </w:divBdr>
        </w:div>
      </w:divsChild>
    </w:div>
    <w:div w:id="876697825">
      <w:bodyDiv w:val="1"/>
      <w:marLeft w:val="0"/>
      <w:marRight w:val="0"/>
      <w:marTop w:val="0"/>
      <w:marBottom w:val="0"/>
      <w:divBdr>
        <w:top w:val="none" w:sz="0" w:space="0" w:color="auto"/>
        <w:left w:val="none" w:sz="0" w:space="0" w:color="auto"/>
        <w:bottom w:val="none" w:sz="0" w:space="0" w:color="auto"/>
        <w:right w:val="none" w:sz="0" w:space="0" w:color="auto"/>
      </w:divBdr>
    </w:div>
    <w:div w:id="938637005">
      <w:bodyDiv w:val="1"/>
      <w:marLeft w:val="0"/>
      <w:marRight w:val="0"/>
      <w:marTop w:val="0"/>
      <w:marBottom w:val="0"/>
      <w:divBdr>
        <w:top w:val="none" w:sz="0" w:space="0" w:color="auto"/>
        <w:left w:val="none" w:sz="0" w:space="0" w:color="auto"/>
        <w:bottom w:val="none" w:sz="0" w:space="0" w:color="auto"/>
        <w:right w:val="none" w:sz="0" w:space="0" w:color="auto"/>
      </w:divBdr>
    </w:div>
    <w:div w:id="94931539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392080">
      <w:bodyDiv w:val="1"/>
      <w:marLeft w:val="0"/>
      <w:marRight w:val="0"/>
      <w:marTop w:val="0"/>
      <w:marBottom w:val="0"/>
      <w:divBdr>
        <w:top w:val="none" w:sz="0" w:space="0" w:color="auto"/>
        <w:left w:val="none" w:sz="0" w:space="0" w:color="auto"/>
        <w:bottom w:val="none" w:sz="0" w:space="0" w:color="auto"/>
        <w:right w:val="none" w:sz="0" w:space="0" w:color="auto"/>
      </w:divBdr>
    </w:div>
    <w:div w:id="1004626719">
      <w:bodyDiv w:val="1"/>
      <w:marLeft w:val="0"/>
      <w:marRight w:val="0"/>
      <w:marTop w:val="0"/>
      <w:marBottom w:val="0"/>
      <w:divBdr>
        <w:top w:val="none" w:sz="0" w:space="0" w:color="auto"/>
        <w:left w:val="none" w:sz="0" w:space="0" w:color="auto"/>
        <w:bottom w:val="none" w:sz="0" w:space="0" w:color="auto"/>
        <w:right w:val="none" w:sz="0" w:space="0" w:color="auto"/>
      </w:divBdr>
      <w:divsChild>
        <w:div w:id="1582792307">
          <w:marLeft w:val="0"/>
          <w:marRight w:val="0"/>
          <w:marTop w:val="0"/>
          <w:marBottom w:val="0"/>
          <w:divBdr>
            <w:top w:val="none" w:sz="0" w:space="0" w:color="auto"/>
            <w:left w:val="none" w:sz="0" w:space="0" w:color="auto"/>
            <w:bottom w:val="none" w:sz="0" w:space="0" w:color="auto"/>
            <w:right w:val="none" w:sz="0" w:space="0" w:color="auto"/>
          </w:divBdr>
          <w:divsChild>
            <w:div w:id="1035883682">
              <w:marLeft w:val="0"/>
              <w:marRight w:val="0"/>
              <w:marTop w:val="0"/>
              <w:marBottom w:val="0"/>
              <w:divBdr>
                <w:top w:val="none" w:sz="0" w:space="0" w:color="auto"/>
                <w:left w:val="none" w:sz="0" w:space="0" w:color="auto"/>
                <w:bottom w:val="none" w:sz="0" w:space="0" w:color="auto"/>
                <w:right w:val="none" w:sz="0" w:space="0" w:color="auto"/>
              </w:divBdr>
              <w:divsChild>
                <w:div w:id="449011457">
                  <w:marLeft w:val="0"/>
                  <w:marRight w:val="0"/>
                  <w:marTop w:val="0"/>
                  <w:marBottom w:val="0"/>
                  <w:divBdr>
                    <w:top w:val="none" w:sz="0" w:space="0" w:color="auto"/>
                    <w:left w:val="none" w:sz="0" w:space="0" w:color="auto"/>
                    <w:bottom w:val="none" w:sz="0" w:space="0" w:color="auto"/>
                    <w:right w:val="none" w:sz="0" w:space="0" w:color="auto"/>
                  </w:divBdr>
                  <w:divsChild>
                    <w:div w:id="988244339">
                      <w:marLeft w:val="0"/>
                      <w:marRight w:val="0"/>
                      <w:marTop w:val="0"/>
                      <w:marBottom w:val="0"/>
                      <w:divBdr>
                        <w:top w:val="none" w:sz="0" w:space="0" w:color="auto"/>
                        <w:left w:val="none" w:sz="0" w:space="0" w:color="auto"/>
                        <w:bottom w:val="none" w:sz="0" w:space="0" w:color="auto"/>
                        <w:right w:val="none" w:sz="0" w:space="0" w:color="auto"/>
                      </w:divBdr>
                      <w:divsChild>
                        <w:div w:id="1814251476">
                          <w:marLeft w:val="0"/>
                          <w:marRight w:val="0"/>
                          <w:marTop w:val="0"/>
                          <w:marBottom w:val="0"/>
                          <w:divBdr>
                            <w:top w:val="none" w:sz="0" w:space="0" w:color="auto"/>
                            <w:left w:val="none" w:sz="0" w:space="0" w:color="auto"/>
                            <w:bottom w:val="none" w:sz="0" w:space="0" w:color="auto"/>
                            <w:right w:val="none" w:sz="0" w:space="0" w:color="auto"/>
                          </w:divBdr>
                          <w:divsChild>
                            <w:div w:id="1635135074">
                              <w:marLeft w:val="0"/>
                              <w:marRight w:val="0"/>
                              <w:marTop w:val="75"/>
                              <w:marBottom w:val="75"/>
                              <w:divBdr>
                                <w:top w:val="none" w:sz="0" w:space="0" w:color="auto"/>
                                <w:left w:val="none" w:sz="0" w:space="0" w:color="auto"/>
                                <w:bottom w:val="none" w:sz="0" w:space="0" w:color="auto"/>
                                <w:right w:val="none" w:sz="0" w:space="0" w:color="auto"/>
                              </w:divBdr>
                              <w:divsChild>
                                <w:div w:id="187331137">
                                  <w:marLeft w:val="0"/>
                                  <w:marRight w:val="0"/>
                                  <w:marTop w:val="0"/>
                                  <w:marBottom w:val="0"/>
                                  <w:divBdr>
                                    <w:top w:val="none" w:sz="0" w:space="0" w:color="auto"/>
                                    <w:left w:val="none" w:sz="0" w:space="0" w:color="auto"/>
                                    <w:bottom w:val="none" w:sz="0" w:space="0" w:color="auto"/>
                                    <w:right w:val="none" w:sz="0" w:space="0" w:color="auto"/>
                                  </w:divBdr>
                                  <w:divsChild>
                                    <w:div w:id="1427454937">
                                      <w:marLeft w:val="0"/>
                                      <w:marRight w:val="0"/>
                                      <w:marTop w:val="0"/>
                                      <w:marBottom w:val="0"/>
                                      <w:divBdr>
                                        <w:top w:val="none" w:sz="0" w:space="0" w:color="auto"/>
                                        <w:left w:val="none" w:sz="0" w:space="0" w:color="auto"/>
                                        <w:bottom w:val="none" w:sz="0" w:space="0" w:color="auto"/>
                                        <w:right w:val="none" w:sz="0" w:space="0" w:color="auto"/>
                                      </w:divBdr>
                                      <w:divsChild>
                                        <w:div w:id="1440183163">
                                          <w:marLeft w:val="0"/>
                                          <w:marRight w:val="0"/>
                                          <w:marTop w:val="0"/>
                                          <w:marBottom w:val="75"/>
                                          <w:divBdr>
                                            <w:top w:val="none" w:sz="0" w:space="0" w:color="auto"/>
                                            <w:left w:val="none" w:sz="0" w:space="0" w:color="auto"/>
                                            <w:bottom w:val="none" w:sz="0" w:space="0" w:color="auto"/>
                                            <w:right w:val="none" w:sz="0" w:space="0" w:color="auto"/>
                                          </w:divBdr>
                                          <w:divsChild>
                                            <w:div w:id="680931857">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01873813">
      <w:bodyDiv w:val="1"/>
      <w:marLeft w:val="0"/>
      <w:marRight w:val="0"/>
      <w:marTop w:val="0"/>
      <w:marBottom w:val="0"/>
      <w:divBdr>
        <w:top w:val="none" w:sz="0" w:space="0" w:color="auto"/>
        <w:left w:val="none" w:sz="0" w:space="0" w:color="auto"/>
        <w:bottom w:val="none" w:sz="0" w:space="0" w:color="auto"/>
        <w:right w:val="none" w:sz="0" w:space="0" w:color="auto"/>
      </w:divBdr>
    </w:div>
    <w:div w:id="1113213549">
      <w:bodyDiv w:val="1"/>
      <w:marLeft w:val="0"/>
      <w:marRight w:val="0"/>
      <w:marTop w:val="0"/>
      <w:marBottom w:val="0"/>
      <w:divBdr>
        <w:top w:val="none" w:sz="0" w:space="0" w:color="auto"/>
        <w:left w:val="none" w:sz="0" w:space="0" w:color="auto"/>
        <w:bottom w:val="none" w:sz="0" w:space="0" w:color="auto"/>
        <w:right w:val="none" w:sz="0" w:space="0" w:color="auto"/>
      </w:divBdr>
      <w:divsChild>
        <w:div w:id="7871423">
          <w:marLeft w:val="0"/>
          <w:marRight w:val="0"/>
          <w:marTop w:val="0"/>
          <w:marBottom w:val="0"/>
          <w:divBdr>
            <w:top w:val="none" w:sz="0" w:space="0" w:color="auto"/>
            <w:left w:val="none" w:sz="0" w:space="0" w:color="auto"/>
            <w:bottom w:val="none" w:sz="0" w:space="0" w:color="auto"/>
            <w:right w:val="none" w:sz="0" w:space="0" w:color="auto"/>
          </w:divBdr>
          <w:divsChild>
            <w:div w:id="1849100782">
              <w:marLeft w:val="0"/>
              <w:marRight w:val="0"/>
              <w:marTop w:val="0"/>
              <w:marBottom w:val="0"/>
              <w:divBdr>
                <w:top w:val="none" w:sz="0" w:space="0" w:color="auto"/>
                <w:left w:val="none" w:sz="0" w:space="0" w:color="auto"/>
                <w:bottom w:val="none" w:sz="0" w:space="0" w:color="auto"/>
                <w:right w:val="none" w:sz="0" w:space="0" w:color="auto"/>
              </w:divBdr>
            </w:div>
          </w:divsChild>
        </w:div>
        <w:div w:id="8681757">
          <w:marLeft w:val="0"/>
          <w:marRight w:val="0"/>
          <w:marTop w:val="0"/>
          <w:marBottom w:val="0"/>
          <w:divBdr>
            <w:top w:val="none" w:sz="0" w:space="0" w:color="auto"/>
            <w:left w:val="none" w:sz="0" w:space="0" w:color="auto"/>
            <w:bottom w:val="none" w:sz="0" w:space="0" w:color="auto"/>
            <w:right w:val="none" w:sz="0" w:space="0" w:color="auto"/>
          </w:divBdr>
          <w:divsChild>
            <w:div w:id="1891460263">
              <w:marLeft w:val="0"/>
              <w:marRight w:val="0"/>
              <w:marTop w:val="0"/>
              <w:marBottom w:val="0"/>
              <w:divBdr>
                <w:top w:val="none" w:sz="0" w:space="0" w:color="auto"/>
                <w:left w:val="none" w:sz="0" w:space="0" w:color="auto"/>
                <w:bottom w:val="none" w:sz="0" w:space="0" w:color="auto"/>
                <w:right w:val="none" w:sz="0" w:space="0" w:color="auto"/>
              </w:divBdr>
            </w:div>
          </w:divsChild>
        </w:div>
        <w:div w:id="14770336">
          <w:marLeft w:val="0"/>
          <w:marRight w:val="0"/>
          <w:marTop w:val="0"/>
          <w:marBottom w:val="0"/>
          <w:divBdr>
            <w:top w:val="none" w:sz="0" w:space="0" w:color="auto"/>
            <w:left w:val="none" w:sz="0" w:space="0" w:color="auto"/>
            <w:bottom w:val="none" w:sz="0" w:space="0" w:color="auto"/>
            <w:right w:val="none" w:sz="0" w:space="0" w:color="auto"/>
          </w:divBdr>
          <w:divsChild>
            <w:div w:id="1545678264">
              <w:marLeft w:val="0"/>
              <w:marRight w:val="0"/>
              <w:marTop w:val="0"/>
              <w:marBottom w:val="0"/>
              <w:divBdr>
                <w:top w:val="none" w:sz="0" w:space="0" w:color="auto"/>
                <w:left w:val="none" w:sz="0" w:space="0" w:color="auto"/>
                <w:bottom w:val="none" w:sz="0" w:space="0" w:color="auto"/>
                <w:right w:val="none" w:sz="0" w:space="0" w:color="auto"/>
              </w:divBdr>
            </w:div>
          </w:divsChild>
        </w:div>
        <w:div w:id="26565595">
          <w:marLeft w:val="0"/>
          <w:marRight w:val="0"/>
          <w:marTop w:val="0"/>
          <w:marBottom w:val="0"/>
          <w:divBdr>
            <w:top w:val="none" w:sz="0" w:space="0" w:color="auto"/>
            <w:left w:val="none" w:sz="0" w:space="0" w:color="auto"/>
            <w:bottom w:val="none" w:sz="0" w:space="0" w:color="auto"/>
            <w:right w:val="none" w:sz="0" w:space="0" w:color="auto"/>
          </w:divBdr>
          <w:divsChild>
            <w:div w:id="52775798">
              <w:marLeft w:val="0"/>
              <w:marRight w:val="0"/>
              <w:marTop w:val="0"/>
              <w:marBottom w:val="0"/>
              <w:divBdr>
                <w:top w:val="none" w:sz="0" w:space="0" w:color="auto"/>
                <w:left w:val="none" w:sz="0" w:space="0" w:color="auto"/>
                <w:bottom w:val="none" w:sz="0" w:space="0" w:color="auto"/>
                <w:right w:val="none" w:sz="0" w:space="0" w:color="auto"/>
              </w:divBdr>
            </w:div>
          </w:divsChild>
        </w:div>
        <w:div w:id="29497379">
          <w:marLeft w:val="0"/>
          <w:marRight w:val="0"/>
          <w:marTop w:val="0"/>
          <w:marBottom w:val="0"/>
          <w:divBdr>
            <w:top w:val="none" w:sz="0" w:space="0" w:color="auto"/>
            <w:left w:val="none" w:sz="0" w:space="0" w:color="auto"/>
            <w:bottom w:val="none" w:sz="0" w:space="0" w:color="auto"/>
            <w:right w:val="none" w:sz="0" w:space="0" w:color="auto"/>
          </w:divBdr>
          <w:divsChild>
            <w:div w:id="1564832179">
              <w:marLeft w:val="0"/>
              <w:marRight w:val="0"/>
              <w:marTop w:val="0"/>
              <w:marBottom w:val="0"/>
              <w:divBdr>
                <w:top w:val="none" w:sz="0" w:space="0" w:color="auto"/>
                <w:left w:val="none" w:sz="0" w:space="0" w:color="auto"/>
                <w:bottom w:val="none" w:sz="0" w:space="0" w:color="auto"/>
                <w:right w:val="none" w:sz="0" w:space="0" w:color="auto"/>
              </w:divBdr>
            </w:div>
          </w:divsChild>
        </w:div>
        <w:div w:id="145781372">
          <w:marLeft w:val="0"/>
          <w:marRight w:val="0"/>
          <w:marTop w:val="0"/>
          <w:marBottom w:val="0"/>
          <w:divBdr>
            <w:top w:val="none" w:sz="0" w:space="0" w:color="auto"/>
            <w:left w:val="none" w:sz="0" w:space="0" w:color="auto"/>
            <w:bottom w:val="none" w:sz="0" w:space="0" w:color="auto"/>
            <w:right w:val="none" w:sz="0" w:space="0" w:color="auto"/>
          </w:divBdr>
          <w:divsChild>
            <w:div w:id="463080769">
              <w:marLeft w:val="0"/>
              <w:marRight w:val="0"/>
              <w:marTop w:val="0"/>
              <w:marBottom w:val="0"/>
              <w:divBdr>
                <w:top w:val="none" w:sz="0" w:space="0" w:color="auto"/>
                <w:left w:val="none" w:sz="0" w:space="0" w:color="auto"/>
                <w:bottom w:val="none" w:sz="0" w:space="0" w:color="auto"/>
                <w:right w:val="none" w:sz="0" w:space="0" w:color="auto"/>
              </w:divBdr>
            </w:div>
          </w:divsChild>
        </w:div>
        <w:div w:id="160783587">
          <w:marLeft w:val="0"/>
          <w:marRight w:val="0"/>
          <w:marTop w:val="0"/>
          <w:marBottom w:val="0"/>
          <w:divBdr>
            <w:top w:val="none" w:sz="0" w:space="0" w:color="auto"/>
            <w:left w:val="none" w:sz="0" w:space="0" w:color="auto"/>
            <w:bottom w:val="none" w:sz="0" w:space="0" w:color="auto"/>
            <w:right w:val="none" w:sz="0" w:space="0" w:color="auto"/>
          </w:divBdr>
          <w:divsChild>
            <w:div w:id="1927499425">
              <w:marLeft w:val="0"/>
              <w:marRight w:val="0"/>
              <w:marTop w:val="0"/>
              <w:marBottom w:val="0"/>
              <w:divBdr>
                <w:top w:val="none" w:sz="0" w:space="0" w:color="auto"/>
                <w:left w:val="none" w:sz="0" w:space="0" w:color="auto"/>
                <w:bottom w:val="none" w:sz="0" w:space="0" w:color="auto"/>
                <w:right w:val="none" w:sz="0" w:space="0" w:color="auto"/>
              </w:divBdr>
            </w:div>
          </w:divsChild>
        </w:div>
        <w:div w:id="161970687">
          <w:marLeft w:val="0"/>
          <w:marRight w:val="0"/>
          <w:marTop w:val="0"/>
          <w:marBottom w:val="0"/>
          <w:divBdr>
            <w:top w:val="none" w:sz="0" w:space="0" w:color="auto"/>
            <w:left w:val="none" w:sz="0" w:space="0" w:color="auto"/>
            <w:bottom w:val="none" w:sz="0" w:space="0" w:color="auto"/>
            <w:right w:val="none" w:sz="0" w:space="0" w:color="auto"/>
          </w:divBdr>
          <w:divsChild>
            <w:div w:id="1663124208">
              <w:marLeft w:val="0"/>
              <w:marRight w:val="0"/>
              <w:marTop w:val="0"/>
              <w:marBottom w:val="0"/>
              <w:divBdr>
                <w:top w:val="none" w:sz="0" w:space="0" w:color="auto"/>
                <w:left w:val="none" w:sz="0" w:space="0" w:color="auto"/>
                <w:bottom w:val="none" w:sz="0" w:space="0" w:color="auto"/>
                <w:right w:val="none" w:sz="0" w:space="0" w:color="auto"/>
              </w:divBdr>
            </w:div>
          </w:divsChild>
        </w:div>
        <w:div w:id="162160171">
          <w:marLeft w:val="0"/>
          <w:marRight w:val="0"/>
          <w:marTop w:val="0"/>
          <w:marBottom w:val="0"/>
          <w:divBdr>
            <w:top w:val="none" w:sz="0" w:space="0" w:color="auto"/>
            <w:left w:val="none" w:sz="0" w:space="0" w:color="auto"/>
            <w:bottom w:val="none" w:sz="0" w:space="0" w:color="auto"/>
            <w:right w:val="none" w:sz="0" w:space="0" w:color="auto"/>
          </w:divBdr>
          <w:divsChild>
            <w:div w:id="475295588">
              <w:marLeft w:val="0"/>
              <w:marRight w:val="0"/>
              <w:marTop w:val="0"/>
              <w:marBottom w:val="0"/>
              <w:divBdr>
                <w:top w:val="none" w:sz="0" w:space="0" w:color="auto"/>
                <w:left w:val="none" w:sz="0" w:space="0" w:color="auto"/>
                <w:bottom w:val="none" w:sz="0" w:space="0" w:color="auto"/>
                <w:right w:val="none" w:sz="0" w:space="0" w:color="auto"/>
              </w:divBdr>
            </w:div>
          </w:divsChild>
        </w:div>
        <w:div w:id="173493495">
          <w:marLeft w:val="0"/>
          <w:marRight w:val="0"/>
          <w:marTop w:val="0"/>
          <w:marBottom w:val="0"/>
          <w:divBdr>
            <w:top w:val="none" w:sz="0" w:space="0" w:color="auto"/>
            <w:left w:val="none" w:sz="0" w:space="0" w:color="auto"/>
            <w:bottom w:val="none" w:sz="0" w:space="0" w:color="auto"/>
            <w:right w:val="none" w:sz="0" w:space="0" w:color="auto"/>
          </w:divBdr>
          <w:divsChild>
            <w:div w:id="761487590">
              <w:marLeft w:val="0"/>
              <w:marRight w:val="0"/>
              <w:marTop w:val="0"/>
              <w:marBottom w:val="0"/>
              <w:divBdr>
                <w:top w:val="none" w:sz="0" w:space="0" w:color="auto"/>
                <w:left w:val="none" w:sz="0" w:space="0" w:color="auto"/>
                <w:bottom w:val="none" w:sz="0" w:space="0" w:color="auto"/>
                <w:right w:val="none" w:sz="0" w:space="0" w:color="auto"/>
              </w:divBdr>
            </w:div>
          </w:divsChild>
        </w:div>
        <w:div w:id="185875283">
          <w:marLeft w:val="0"/>
          <w:marRight w:val="0"/>
          <w:marTop w:val="0"/>
          <w:marBottom w:val="0"/>
          <w:divBdr>
            <w:top w:val="none" w:sz="0" w:space="0" w:color="auto"/>
            <w:left w:val="none" w:sz="0" w:space="0" w:color="auto"/>
            <w:bottom w:val="none" w:sz="0" w:space="0" w:color="auto"/>
            <w:right w:val="none" w:sz="0" w:space="0" w:color="auto"/>
          </w:divBdr>
          <w:divsChild>
            <w:div w:id="14696583">
              <w:marLeft w:val="0"/>
              <w:marRight w:val="0"/>
              <w:marTop w:val="0"/>
              <w:marBottom w:val="0"/>
              <w:divBdr>
                <w:top w:val="none" w:sz="0" w:space="0" w:color="auto"/>
                <w:left w:val="none" w:sz="0" w:space="0" w:color="auto"/>
                <w:bottom w:val="none" w:sz="0" w:space="0" w:color="auto"/>
                <w:right w:val="none" w:sz="0" w:space="0" w:color="auto"/>
              </w:divBdr>
            </w:div>
          </w:divsChild>
        </w:div>
        <w:div w:id="195967598">
          <w:marLeft w:val="0"/>
          <w:marRight w:val="0"/>
          <w:marTop w:val="0"/>
          <w:marBottom w:val="0"/>
          <w:divBdr>
            <w:top w:val="none" w:sz="0" w:space="0" w:color="auto"/>
            <w:left w:val="none" w:sz="0" w:space="0" w:color="auto"/>
            <w:bottom w:val="none" w:sz="0" w:space="0" w:color="auto"/>
            <w:right w:val="none" w:sz="0" w:space="0" w:color="auto"/>
          </w:divBdr>
          <w:divsChild>
            <w:div w:id="1531841480">
              <w:marLeft w:val="0"/>
              <w:marRight w:val="0"/>
              <w:marTop w:val="0"/>
              <w:marBottom w:val="0"/>
              <w:divBdr>
                <w:top w:val="none" w:sz="0" w:space="0" w:color="auto"/>
                <w:left w:val="none" w:sz="0" w:space="0" w:color="auto"/>
                <w:bottom w:val="none" w:sz="0" w:space="0" w:color="auto"/>
                <w:right w:val="none" w:sz="0" w:space="0" w:color="auto"/>
              </w:divBdr>
            </w:div>
          </w:divsChild>
        </w:div>
        <w:div w:id="202254081">
          <w:marLeft w:val="0"/>
          <w:marRight w:val="0"/>
          <w:marTop w:val="0"/>
          <w:marBottom w:val="0"/>
          <w:divBdr>
            <w:top w:val="none" w:sz="0" w:space="0" w:color="auto"/>
            <w:left w:val="none" w:sz="0" w:space="0" w:color="auto"/>
            <w:bottom w:val="none" w:sz="0" w:space="0" w:color="auto"/>
            <w:right w:val="none" w:sz="0" w:space="0" w:color="auto"/>
          </w:divBdr>
          <w:divsChild>
            <w:div w:id="348874850">
              <w:marLeft w:val="0"/>
              <w:marRight w:val="0"/>
              <w:marTop w:val="0"/>
              <w:marBottom w:val="0"/>
              <w:divBdr>
                <w:top w:val="none" w:sz="0" w:space="0" w:color="auto"/>
                <w:left w:val="none" w:sz="0" w:space="0" w:color="auto"/>
                <w:bottom w:val="none" w:sz="0" w:space="0" w:color="auto"/>
                <w:right w:val="none" w:sz="0" w:space="0" w:color="auto"/>
              </w:divBdr>
            </w:div>
          </w:divsChild>
        </w:div>
        <w:div w:id="221214583">
          <w:marLeft w:val="0"/>
          <w:marRight w:val="0"/>
          <w:marTop w:val="0"/>
          <w:marBottom w:val="0"/>
          <w:divBdr>
            <w:top w:val="none" w:sz="0" w:space="0" w:color="auto"/>
            <w:left w:val="none" w:sz="0" w:space="0" w:color="auto"/>
            <w:bottom w:val="none" w:sz="0" w:space="0" w:color="auto"/>
            <w:right w:val="none" w:sz="0" w:space="0" w:color="auto"/>
          </w:divBdr>
          <w:divsChild>
            <w:div w:id="1155611792">
              <w:marLeft w:val="0"/>
              <w:marRight w:val="0"/>
              <w:marTop w:val="0"/>
              <w:marBottom w:val="0"/>
              <w:divBdr>
                <w:top w:val="none" w:sz="0" w:space="0" w:color="auto"/>
                <w:left w:val="none" w:sz="0" w:space="0" w:color="auto"/>
                <w:bottom w:val="none" w:sz="0" w:space="0" w:color="auto"/>
                <w:right w:val="none" w:sz="0" w:space="0" w:color="auto"/>
              </w:divBdr>
            </w:div>
          </w:divsChild>
        </w:div>
        <w:div w:id="254048263">
          <w:marLeft w:val="0"/>
          <w:marRight w:val="0"/>
          <w:marTop w:val="0"/>
          <w:marBottom w:val="0"/>
          <w:divBdr>
            <w:top w:val="none" w:sz="0" w:space="0" w:color="auto"/>
            <w:left w:val="none" w:sz="0" w:space="0" w:color="auto"/>
            <w:bottom w:val="none" w:sz="0" w:space="0" w:color="auto"/>
            <w:right w:val="none" w:sz="0" w:space="0" w:color="auto"/>
          </w:divBdr>
          <w:divsChild>
            <w:div w:id="577400453">
              <w:marLeft w:val="0"/>
              <w:marRight w:val="0"/>
              <w:marTop w:val="0"/>
              <w:marBottom w:val="0"/>
              <w:divBdr>
                <w:top w:val="none" w:sz="0" w:space="0" w:color="auto"/>
                <w:left w:val="none" w:sz="0" w:space="0" w:color="auto"/>
                <w:bottom w:val="none" w:sz="0" w:space="0" w:color="auto"/>
                <w:right w:val="none" w:sz="0" w:space="0" w:color="auto"/>
              </w:divBdr>
            </w:div>
          </w:divsChild>
        </w:div>
        <w:div w:id="256914551">
          <w:marLeft w:val="0"/>
          <w:marRight w:val="0"/>
          <w:marTop w:val="0"/>
          <w:marBottom w:val="0"/>
          <w:divBdr>
            <w:top w:val="none" w:sz="0" w:space="0" w:color="auto"/>
            <w:left w:val="none" w:sz="0" w:space="0" w:color="auto"/>
            <w:bottom w:val="none" w:sz="0" w:space="0" w:color="auto"/>
            <w:right w:val="none" w:sz="0" w:space="0" w:color="auto"/>
          </w:divBdr>
          <w:divsChild>
            <w:div w:id="164516670">
              <w:marLeft w:val="0"/>
              <w:marRight w:val="0"/>
              <w:marTop w:val="0"/>
              <w:marBottom w:val="0"/>
              <w:divBdr>
                <w:top w:val="none" w:sz="0" w:space="0" w:color="auto"/>
                <w:left w:val="none" w:sz="0" w:space="0" w:color="auto"/>
                <w:bottom w:val="none" w:sz="0" w:space="0" w:color="auto"/>
                <w:right w:val="none" w:sz="0" w:space="0" w:color="auto"/>
              </w:divBdr>
            </w:div>
          </w:divsChild>
        </w:div>
        <w:div w:id="259872208">
          <w:marLeft w:val="0"/>
          <w:marRight w:val="0"/>
          <w:marTop w:val="0"/>
          <w:marBottom w:val="0"/>
          <w:divBdr>
            <w:top w:val="none" w:sz="0" w:space="0" w:color="auto"/>
            <w:left w:val="none" w:sz="0" w:space="0" w:color="auto"/>
            <w:bottom w:val="none" w:sz="0" w:space="0" w:color="auto"/>
            <w:right w:val="none" w:sz="0" w:space="0" w:color="auto"/>
          </w:divBdr>
          <w:divsChild>
            <w:div w:id="13649969">
              <w:marLeft w:val="0"/>
              <w:marRight w:val="0"/>
              <w:marTop w:val="0"/>
              <w:marBottom w:val="0"/>
              <w:divBdr>
                <w:top w:val="none" w:sz="0" w:space="0" w:color="auto"/>
                <w:left w:val="none" w:sz="0" w:space="0" w:color="auto"/>
                <w:bottom w:val="none" w:sz="0" w:space="0" w:color="auto"/>
                <w:right w:val="none" w:sz="0" w:space="0" w:color="auto"/>
              </w:divBdr>
            </w:div>
          </w:divsChild>
        </w:div>
        <w:div w:id="263925087">
          <w:marLeft w:val="0"/>
          <w:marRight w:val="0"/>
          <w:marTop w:val="0"/>
          <w:marBottom w:val="0"/>
          <w:divBdr>
            <w:top w:val="none" w:sz="0" w:space="0" w:color="auto"/>
            <w:left w:val="none" w:sz="0" w:space="0" w:color="auto"/>
            <w:bottom w:val="none" w:sz="0" w:space="0" w:color="auto"/>
            <w:right w:val="none" w:sz="0" w:space="0" w:color="auto"/>
          </w:divBdr>
          <w:divsChild>
            <w:div w:id="1333681352">
              <w:marLeft w:val="0"/>
              <w:marRight w:val="0"/>
              <w:marTop w:val="0"/>
              <w:marBottom w:val="0"/>
              <w:divBdr>
                <w:top w:val="none" w:sz="0" w:space="0" w:color="auto"/>
                <w:left w:val="none" w:sz="0" w:space="0" w:color="auto"/>
                <w:bottom w:val="none" w:sz="0" w:space="0" w:color="auto"/>
                <w:right w:val="none" w:sz="0" w:space="0" w:color="auto"/>
              </w:divBdr>
            </w:div>
          </w:divsChild>
        </w:div>
        <w:div w:id="270479538">
          <w:marLeft w:val="0"/>
          <w:marRight w:val="0"/>
          <w:marTop w:val="0"/>
          <w:marBottom w:val="0"/>
          <w:divBdr>
            <w:top w:val="none" w:sz="0" w:space="0" w:color="auto"/>
            <w:left w:val="none" w:sz="0" w:space="0" w:color="auto"/>
            <w:bottom w:val="none" w:sz="0" w:space="0" w:color="auto"/>
            <w:right w:val="none" w:sz="0" w:space="0" w:color="auto"/>
          </w:divBdr>
          <w:divsChild>
            <w:div w:id="2146000856">
              <w:marLeft w:val="0"/>
              <w:marRight w:val="0"/>
              <w:marTop w:val="0"/>
              <w:marBottom w:val="0"/>
              <w:divBdr>
                <w:top w:val="none" w:sz="0" w:space="0" w:color="auto"/>
                <w:left w:val="none" w:sz="0" w:space="0" w:color="auto"/>
                <w:bottom w:val="none" w:sz="0" w:space="0" w:color="auto"/>
                <w:right w:val="none" w:sz="0" w:space="0" w:color="auto"/>
              </w:divBdr>
            </w:div>
          </w:divsChild>
        </w:div>
        <w:div w:id="271984707">
          <w:marLeft w:val="0"/>
          <w:marRight w:val="0"/>
          <w:marTop w:val="0"/>
          <w:marBottom w:val="0"/>
          <w:divBdr>
            <w:top w:val="none" w:sz="0" w:space="0" w:color="auto"/>
            <w:left w:val="none" w:sz="0" w:space="0" w:color="auto"/>
            <w:bottom w:val="none" w:sz="0" w:space="0" w:color="auto"/>
            <w:right w:val="none" w:sz="0" w:space="0" w:color="auto"/>
          </w:divBdr>
          <w:divsChild>
            <w:div w:id="1183396221">
              <w:marLeft w:val="0"/>
              <w:marRight w:val="0"/>
              <w:marTop w:val="0"/>
              <w:marBottom w:val="0"/>
              <w:divBdr>
                <w:top w:val="none" w:sz="0" w:space="0" w:color="auto"/>
                <w:left w:val="none" w:sz="0" w:space="0" w:color="auto"/>
                <w:bottom w:val="none" w:sz="0" w:space="0" w:color="auto"/>
                <w:right w:val="none" w:sz="0" w:space="0" w:color="auto"/>
              </w:divBdr>
            </w:div>
          </w:divsChild>
        </w:div>
        <w:div w:id="298151652">
          <w:marLeft w:val="0"/>
          <w:marRight w:val="0"/>
          <w:marTop w:val="0"/>
          <w:marBottom w:val="0"/>
          <w:divBdr>
            <w:top w:val="none" w:sz="0" w:space="0" w:color="auto"/>
            <w:left w:val="none" w:sz="0" w:space="0" w:color="auto"/>
            <w:bottom w:val="none" w:sz="0" w:space="0" w:color="auto"/>
            <w:right w:val="none" w:sz="0" w:space="0" w:color="auto"/>
          </w:divBdr>
          <w:divsChild>
            <w:div w:id="941765920">
              <w:marLeft w:val="0"/>
              <w:marRight w:val="0"/>
              <w:marTop w:val="0"/>
              <w:marBottom w:val="0"/>
              <w:divBdr>
                <w:top w:val="none" w:sz="0" w:space="0" w:color="auto"/>
                <w:left w:val="none" w:sz="0" w:space="0" w:color="auto"/>
                <w:bottom w:val="none" w:sz="0" w:space="0" w:color="auto"/>
                <w:right w:val="none" w:sz="0" w:space="0" w:color="auto"/>
              </w:divBdr>
            </w:div>
          </w:divsChild>
        </w:div>
        <w:div w:id="303971587">
          <w:marLeft w:val="0"/>
          <w:marRight w:val="0"/>
          <w:marTop w:val="0"/>
          <w:marBottom w:val="0"/>
          <w:divBdr>
            <w:top w:val="none" w:sz="0" w:space="0" w:color="auto"/>
            <w:left w:val="none" w:sz="0" w:space="0" w:color="auto"/>
            <w:bottom w:val="none" w:sz="0" w:space="0" w:color="auto"/>
            <w:right w:val="none" w:sz="0" w:space="0" w:color="auto"/>
          </w:divBdr>
          <w:divsChild>
            <w:div w:id="329522125">
              <w:marLeft w:val="0"/>
              <w:marRight w:val="0"/>
              <w:marTop w:val="0"/>
              <w:marBottom w:val="0"/>
              <w:divBdr>
                <w:top w:val="none" w:sz="0" w:space="0" w:color="auto"/>
                <w:left w:val="none" w:sz="0" w:space="0" w:color="auto"/>
                <w:bottom w:val="none" w:sz="0" w:space="0" w:color="auto"/>
                <w:right w:val="none" w:sz="0" w:space="0" w:color="auto"/>
              </w:divBdr>
            </w:div>
          </w:divsChild>
        </w:div>
        <w:div w:id="317736571">
          <w:marLeft w:val="0"/>
          <w:marRight w:val="0"/>
          <w:marTop w:val="0"/>
          <w:marBottom w:val="0"/>
          <w:divBdr>
            <w:top w:val="none" w:sz="0" w:space="0" w:color="auto"/>
            <w:left w:val="none" w:sz="0" w:space="0" w:color="auto"/>
            <w:bottom w:val="none" w:sz="0" w:space="0" w:color="auto"/>
            <w:right w:val="none" w:sz="0" w:space="0" w:color="auto"/>
          </w:divBdr>
          <w:divsChild>
            <w:div w:id="1281574494">
              <w:marLeft w:val="0"/>
              <w:marRight w:val="0"/>
              <w:marTop w:val="0"/>
              <w:marBottom w:val="0"/>
              <w:divBdr>
                <w:top w:val="none" w:sz="0" w:space="0" w:color="auto"/>
                <w:left w:val="none" w:sz="0" w:space="0" w:color="auto"/>
                <w:bottom w:val="none" w:sz="0" w:space="0" w:color="auto"/>
                <w:right w:val="none" w:sz="0" w:space="0" w:color="auto"/>
              </w:divBdr>
            </w:div>
          </w:divsChild>
        </w:div>
        <w:div w:id="320163982">
          <w:marLeft w:val="0"/>
          <w:marRight w:val="0"/>
          <w:marTop w:val="0"/>
          <w:marBottom w:val="0"/>
          <w:divBdr>
            <w:top w:val="none" w:sz="0" w:space="0" w:color="auto"/>
            <w:left w:val="none" w:sz="0" w:space="0" w:color="auto"/>
            <w:bottom w:val="none" w:sz="0" w:space="0" w:color="auto"/>
            <w:right w:val="none" w:sz="0" w:space="0" w:color="auto"/>
          </w:divBdr>
          <w:divsChild>
            <w:div w:id="1554541276">
              <w:marLeft w:val="0"/>
              <w:marRight w:val="0"/>
              <w:marTop w:val="0"/>
              <w:marBottom w:val="0"/>
              <w:divBdr>
                <w:top w:val="none" w:sz="0" w:space="0" w:color="auto"/>
                <w:left w:val="none" w:sz="0" w:space="0" w:color="auto"/>
                <w:bottom w:val="none" w:sz="0" w:space="0" w:color="auto"/>
                <w:right w:val="none" w:sz="0" w:space="0" w:color="auto"/>
              </w:divBdr>
            </w:div>
          </w:divsChild>
        </w:div>
        <w:div w:id="374550966">
          <w:marLeft w:val="0"/>
          <w:marRight w:val="0"/>
          <w:marTop w:val="0"/>
          <w:marBottom w:val="0"/>
          <w:divBdr>
            <w:top w:val="none" w:sz="0" w:space="0" w:color="auto"/>
            <w:left w:val="none" w:sz="0" w:space="0" w:color="auto"/>
            <w:bottom w:val="none" w:sz="0" w:space="0" w:color="auto"/>
            <w:right w:val="none" w:sz="0" w:space="0" w:color="auto"/>
          </w:divBdr>
          <w:divsChild>
            <w:div w:id="72817586">
              <w:marLeft w:val="0"/>
              <w:marRight w:val="0"/>
              <w:marTop w:val="0"/>
              <w:marBottom w:val="0"/>
              <w:divBdr>
                <w:top w:val="none" w:sz="0" w:space="0" w:color="auto"/>
                <w:left w:val="none" w:sz="0" w:space="0" w:color="auto"/>
                <w:bottom w:val="none" w:sz="0" w:space="0" w:color="auto"/>
                <w:right w:val="none" w:sz="0" w:space="0" w:color="auto"/>
              </w:divBdr>
            </w:div>
          </w:divsChild>
        </w:div>
        <w:div w:id="396443195">
          <w:marLeft w:val="0"/>
          <w:marRight w:val="0"/>
          <w:marTop w:val="0"/>
          <w:marBottom w:val="0"/>
          <w:divBdr>
            <w:top w:val="none" w:sz="0" w:space="0" w:color="auto"/>
            <w:left w:val="none" w:sz="0" w:space="0" w:color="auto"/>
            <w:bottom w:val="none" w:sz="0" w:space="0" w:color="auto"/>
            <w:right w:val="none" w:sz="0" w:space="0" w:color="auto"/>
          </w:divBdr>
          <w:divsChild>
            <w:div w:id="1193881684">
              <w:marLeft w:val="0"/>
              <w:marRight w:val="0"/>
              <w:marTop w:val="0"/>
              <w:marBottom w:val="0"/>
              <w:divBdr>
                <w:top w:val="none" w:sz="0" w:space="0" w:color="auto"/>
                <w:left w:val="none" w:sz="0" w:space="0" w:color="auto"/>
                <w:bottom w:val="none" w:sz="0" w:space="0" w:color="auto"/>
                <w:right w:val="none" w:sz="0" w:space="0" w:color="auto"/>
              </w:divBdr>
            </w:div>
          </w:divsChild>
        </w:div>
        <w:div w:id="403603097">
          <w:marLeft w:val="0"/>
          <w:marRight w:val="0"/>
          <w:marTop w:val="0"/>
          <w:marBottom w:val="0"/>
          <w:divBdr>
            <w:top w:val="none" w:sz="0" w:space="0" w:color="auto"/>
            <w:left w:val="none" w:sz="0" w:space="0" w:color="auto"/>
            <w:bottom w:val="none" w:sz="0" w:space="0" w:color="auto"/>
            <w:right w:val="none" w:sz="0" w:space="0" w:color="auto"/>
          </w:divBdr>
          <w:divsChild>
            <w:div w:id="221912854">
              <w:marLeft w:val="0"/>
              <w:marRight w:val="0"/>
              <w:marTop w:val="0"/>
              <w:marBottom w:val="0"/>
              <w:divBdr>
                <w:top w:val="none" w:sz="0" w:space="0" w:color="auto"/>
                <w:left w:val="none" w:sz="0" w:space="0" w:color="auto"/>
                <w:bottom w:val="none" w:sz="0" w:space="0" w:color="auto"/>
                <w:right w:val="none" w:sz="0" w:space="0" w:color="auto"/>
              </w:divBdr>
            </w:div>
          </w:divsChild>
        </w:div>
        <w:div w:id="433014261">
          <w:marLeft w:val="0"/>
          <w:marRight w:val="0"/>
          <w:marTop w:val="0"/>
          <w:marBottom w:val="0"/>
          <w:divBdr>
            <w:top w:val="none" w:sz="0" w:space="0" w:color="auto"/>
            <w:left w:val="none" w:sz="0" w:space="0" w:color="auto"/>
            <w:bottom w:val="none" w:sz="0" w:space="0" w:color="auto"/>
            <w:right w:val="none" w:sz="0" w:space="0" w:color="auto"/>
          </w:divBdr>
          <w:divsChild>
            <w:div w:id="29494477">
              <w:marLeft w:val="0"/>
              <w:marRight w:val="0"/>
              <w:marTop w:val="0"/>
              <w:marBottom w:val="0"/>
              <w:divBdr>
                <w:top w:val="none" w:sz="0" w:space="0" w:color="auto"/>
                <w:left w:val="none" w:sz="0" w:space="0" w:color="auto"/>
                <w:bottom w:val="none" w:sz="0" w:space="0" w:color="auto"/>
                <w:right w:val="none" w:sz="0" w:space="0" w:color="auto"/>
              </w:divBdr>
            </w:div>
          </w:divsChild>
        </w:div>
        <w:div w:id="458307432">
          <w:marLeft w:val="0"/>
          <w:marRight w:val="0"/>
          <w:marTop w:val="0"/>
          <w:marBottom w:val="0"/>
          <w:divBdr>
            <w:top w:val="none" w:sz="0" w:space="0" w:color="auto"/>
            <w:left w:val="none" w:sz="0" w:space="0" w:color="auto"/>
            <w:bottom w:val="none" w:sz="0" w:space="0" w:color="auto"/>
            <w:right w:val="none" w:sz="0" w:space="0" w:color="auto"/>
          </w:divBdr>
          <w:divsChild>
            <w:div w:id="2003655770">
              <w:marLeft w:val="0"/>
              <w:marRight w:val="0"/>
              <w:marTop w:val="0"/>
              <w:marBottom w:val="0"/>
              <w:divBdr>
                <w:top w:val="none" w:sz="0" w:space="0" w:color="auto"/>
                <w:left w:val="none" w:sz="0" w:space="0" w:color="auto"/>
                <w:bottom w:val="none" w:sz="0" w:space="0" w:color="auto"/>
                <w:right w:val="none" w:sz="0" w:space="0" w:color="auto"/>
              </w:divBdr>
            </w:div>
          </w:divsChild>
        </w:div>
        <w:div w:id="481242479">
          <w:marLeft w:val="0"/>
          <w:marRight w:val="0"/>
          <w:marTop w:val="0"/>
          <w:marBottom w:val="0"/>
          <w:divBdr>
            <w:top w:val="none" w:sz="0" w:space="0" w:color="auto"/>
            <w:left w:val="none" w:sz="0" w:space="0" w:color="auto"/>
            <w:bottom w:val="none" w:sz="0" w:space="0" w:color="auto"/>
            <w:right w:val="none" w:sz="0" w:space="0" w:color="auto"/>
          </w:divBdr>
          <w:divsChild>
            <w:div w:id="2139302132">
              <w:marLeft w:val="0"/>
              <w:marRight w:val="0"/>
              <w:marTop w:val="0"/>
              <w:marBottom w:val="0"/>
              <w:divBdr>
                <w:top w:val="none" w:sz="0" w:space="0" w:color="auto"/>
                <w:left w:val="none" w:sz="0" w:space="0" w:color="auto"/>
                <w:bottom w:val="none" w:sz="0" w:space="0" w:color="auto"/>
                <w:right w:val="none" w:sz="0" w:space="0" w:color="auto"/>
              </w:divBdr>
            </w:div>
          </w:divsChild>
        </w:div>
        <w:div w:id="498540482">
          <w:marLeft w:val="0"/>
          <w:marRight w:val="0"/>
          <w:marTop w:val="0"/>
          <w:marBottom w:val="0"/>
          <w:divBdr>
            <w:top w:val="none" w:sz="0" w:space="0" w:color="auto"/>
            <w:left w:val="none" w:sz="0" w:space="0" w:color="auto"/>
            <w:bottom w:val="none" w:sz="0" w:space="0" w:color="auto"/>
            <w:right w:val="none" w:sz="0" w:space="0" w:color="auto"/>
          </w:divBdr>
          <w:divsChild>
            <w:div w:id="135538037">
              <w:marLeft w:val="0"/>
              <w:marRight w:val="0"/>
              <w:marTop w:val="0"/>
              <w:marBottom w:val="0"/>
              <w:divBdr>
                <w:top w:val="none" w:sz="0" w:space="0" w:color="auto"/>
                <w:left w:val="none" w:sz="0" w:space="0" w:color="auto"/>
                <w:bottom w:val="none" w:sz="0" w:space="0" w:color="auto"/>
                <w:right w:val="none" w:sz="0" w:space="0" w:color="auto"/>
              </w:divBdr>
            </w:div>
          </w:divsChild>
        </w:div>
        <w:div w:id="508712214">
          <w:marLeft w:val="0"/>
          <w:marRight w:val="0"/>
          <w:marTop w:val="0"/>
          <w:marBottom w:val="0"/>
          <w:divBdr>
            <w:top w:val="none" w:sz="0" w:space="0" w:color="auto"/>
            <w:left w:val="none" w:sz="0" w:space="0" w:color="auto"/>
            <w:bottom w:val="none" w:sz="0" w:space="0" w:color="auto"/>
            <w:right w:val="none" w:sz="0" w:space="0" w:color="auto"/>
          </w:divBdr>
          <w:divsChild>
            <w:div w:id="1465196347">
              <w:marLeft w:val="0"/>
              <w:marRight w:val="0"/>
              <w:marTop w:val="0"/>
              <w:marBottom w:val="0"/>
              <w:divBdr>
                <w:top w:val="none" w:sz="0" w:space="0" w:color="auto"/>
                <w:left w:val="none" w:sz="0" w:space="0" w:color="auto"/>
                <w:bottom w:val="none" w:sz="0" w:space="0" w:color="auto"/>
                <w:right w:val="none" w:sz="0" w:space="0" w:color="auto"/>
              </w:divBdr>
            </w:div>
          </w:divsChild>
        </w:div>
        <w:div w:id="535584135">
          <w:marLeft w:val="0"/>
          <w:marRight w:val="0"/>
          <w:marTop w:val="0"/>
          <w:marBottom w:val="0"/>
          <w:divBdr>
            <w:top w:val="none" w:sz="0" w:space="0" w:color="auto"/>
            <w:left w:val="none" w:sz="0" w:space="0" w:color="auto"/>
            <w:bottom w:val="none" w:sz="0" w:space="0" w:color="auto"/>
            <w:right w:val="none" w:sz="0" w:space="0" w:color="auto"/>
          </w:divBdr>
          <w:divsChild>
            <w:div w:id="1618831001">
              <w:marLeft w:val="0"/>
              <w:marRight w:val="0"/>
              <w:marTop w:val="0"/>
              <w:marBottom w:val="0"/>
              <w:divBdr>
                <w:top w:val="none" w:sz="0" w:space="0" w:color="auto"/>
                <w:left w:val="none" w:sz="0" w:space="0" w:color="auto"/>
                <w:bottom w:val="none" w:sz="0" w:space="0" w:color="auto"/>
                <w:right w:val="none" w:sz="0" w:space="0" w:color="auto"/>
              </w:divBdr>
            </w:div>
          </w:divsChild>
        </w:div>
        <w:div w:id="551386558">
          <w:marLeft w:val="0"/>
          <w:marRight w:val="0"/>
          <w:marTop w:val="0"/>
          <w:marBottom w:val="0"/>
          <w:divBdr>
            <w:top w:val="none" w:sz="0" w:space="0" w:color="auto"/>
            <w:left w:val="none" w:sz="0" w:space="0" w:color="auto"/>
            <w:bottom w:val="none" w:sz="0" w:space="0" w:color="auto"/>
            <w:right w:val="none" w:sz="0" w:space="0" w:color="auto"/>
          </w:divBdr>
          <w:divsChild>
            <w:div w:id="1965038988">
              <w:marLeft w:val="0"/>
              <w:marRight w:val="0"/>
              <w:marTop w:val="0"/>
              <w:marBottom w:val="0"/>
              <w:divBdr>
                <w:top w:val="none" w:sz="0" w:space="0" w:color="auto"/>
                <w:left w:val="none" w:sz="0" w:space="0" w:color="auto"/>
                <w:bottom w:val="none" w:sz="0" w:space="0" w:color="auto"/>
                <w:right w:val="none" w:sz="0" w:space="0" w:color="auto"/>
              </w:divBdr>
            </w:div>
          </w:divsChild>
        </w:div>
        <w:div w:id="580604155">
          <w:marLeft w:val="0"/>
          <w:marRight w:val="0"/>
          <w:marTop w:val="0"/>
          <w:marBottom w:val="0"/>
          <w:divBdr>
            <w:top w:val="none" w:sz="0" w:space="0" w:color="auto"/>
            <w:left w:val="none" w:sz="0" w:space="0" w:color="auto"/>
            <w:bottom w:val="none" w:sz="0" w:space="0" w:color="auto"/>
            <w:right w:val="none" w:sz="0" w:space="0" w:color="auto"/>
          </w:divBdr>
          <w:divsChild>
            <w:div w:id="1565217048">
              <w:marLeft w:val="0"/>
              <w:marRight w:val="0"/>
              <w:marTop w:val="0"/>
              <w:marBottom w:val="0"/>
              <w:divBdr>
                <w:top w:val="none" w:sz="0" w:space="0" w:color="auto"/>
                <w:left w:val="none" w:sz="0" w:space="0" w:color="auto"/>
                <w:bottom w:val="none" w:sz="0" w:space="0" w:color="auto"/>
                <w:right w:val="none" w:sz="0" w:space="0" w:color="auto"/>
              </w:divBdr>
            </w:div>
          </w:divsChild>
        </w:div>
        <w:div w:id="603390964">
          <w:marLeft w:val="0"/>
          <w:marRight w:val="0"/>
          <w:marTop w:val="0"/>
          <w:marBottom w:val="0"/>
          <w:divBdr>
            <w:top w:val="none" w:sz="0" w:space="0" w:color="auto"/>
            <w:left w:val="none" w:sz="0" w:space="0" w:color="auto"/>
            <w:bottom w:val="none" w:sz="0" w:space="0" w:color="auto"/>
            <w:right w:val="none" w:sz="0" w:space="0" w:color="auto"/>
          </w:divBdr>
          <w:divsChild>
            <w:div w:id="878206670">
              <w:marLeft w:val="0"/>
              <w:marRight w:val="0"/>
              <w:marTop w:val="0"/>
              <w:marBottom w:val="0"/>
              <w:divBdr>
                <w:top w:val="none" w:sz="0" w:space="0" w:color="auto"/>
                <w:left w:val="none" w:sz="0" w:space="0" w:color="auto"/>
                <w:bottom w:val="none" w:sz="0" w:space="0" w:color="auto"/>
                <w:right w:val="none" w:sz="0" w:space="0" w:color="auto"/>
              </w:divBdr>
            </w:div>
          </w:divsChild>
        </w:div>
        <w:div w:id="638802060">
          <w:marLeft w:val="0"/>
          <w:marRight w:val="0"/>
          <w:marTop w:val="0"/>
          <w:marBottom w:val="0"/>
          <w:divBdr>
            <w:top w:val="none" w:sz="0" w:space="0" w:color="auto"/>
            <w:left w:val="none" w:sz="0" w:space="0" w:color="auto"/>
            <w:bottom w:val="none" w:sz="0" w:space="0" w:color="auto"/>
            <w:right w:val="none" w:sz="0" w:space="0" w:color="auto"/>
          </w:divBdr>
          <w:divsChild>
            <w:div w:id="1031616437">
              <w:marLeft w:val="0"/>
              <w:marRight w:val="0"/>
              <w:marTop w:val="0"/>
              <w:marBottom w:val="0"/>
              <w:divBdr>
                <w:top w:val="none" w:sz="0" w:space="0" w:color="auto"/>
                <w:left w:val="none" w:sz="0" w:space="0" w:color="auto"/>
                <w:bottom w:val="none" w:sz="0" w:space="0" w:color="auto"/>
                <w:right w:val="none" w:sz="0" w:space="0" w:color="auto"/>
              </w:divBdr>
            </w:div>
          </w:divsChild>
        </w:div>
        <w:div w:id="658732287">
          <w:marLeft w:val="0"/>
          <w:marRight w:val="0"/>
          <w:marTop w:val="0"/>
          <w:marBottom w:val="0"/>
          <w:divBdr>
            <w:top w:val="none" w:sz="0" w:space="0" w:color="auto"/>
            <w:left w:val="none" w:sz="0" w:space="0" w:color="auto"/>
            <w:bottom w:val="none" w:sz="0" w:space="0" w:color="auto"/>
            <w:right w:val="none" w:sz="0" w:space="0" w:color="auto"/>
          </w:divBdr>
          <w:divsChild>
            <w:div w:id="2029600994">
              <w:marLeft w:val="0"/>
              <w:marRight w:val="0"/>
              <w:marTop w:val="0"/>
              <w:marBottom w:val="0"/>
              <w:divBdr>
                <w:top w:val="none" w:sz="0" w:space="0" w:color="auto"/>
                <w:left w:val="none" w:sz="0" w:space="0" w:color="auto"/>
                <w:bottom w:val="none" w:sz="0" w:space="0" w:color="auto"/>
                <w:right w:val="none" w:sz="0" w:space="0" w:color="auto"/>
              </w:divBdr>
            </w:div>
          </w:divsChild>
        </w:div>
        <w:div w:id="676613606">
          <w:marLeft w:val="0"/>
          <w:marRight w:val="0"/>
          <w:marTop w:val="0"/>
          <w:marBottom w:val="0"/>
          <w:divBdr>
            <w:top w:val="none" w:sz="0" w:space="0" w:color="auto"/>
            <w:left w:val="none" w:sz="0" w:space="0" w:color="auto"/>
            <w:bottom w:val="none" w:sz="0" w:space="0" w:color="auto"/>
            <w:right w:val="none" w:sz="0" w:space="0" w:color="auto"/>
          </w:divBdr>
          <w:divsChild>
            <w:div w:id="1900284706">
              <w:marLeft w:val="0"/>
              <w:marRight w:val="0"/>
              <w:marTop w:val="0"/>
              <w:marBottom w:val="0"/>
              <w:divBdr>
                <w:top w:val="none" w:sz="0" w:space="0" w:color="auto"/>
                <w:left w:val="none" w:sz="0" w:space="0" w:color="auto"/>
                <w:bottom w:val="none" w:sz="0" w:space="0" w:color="auto"/>
                <w:right w:val="none" w:sz="0" w:space="0" w:color="auto"/>
              </w:divBdr>
            </w:div>
          </w:divsChild>
        </w:div>
        <w:div w:id="685445419">
          <w:marLeft w:val="0"/>
          <w:marRight w:val="0"/>
          <w:marTop w:val="0"/>
          <w:marBottom w:val="0"/>
          <w:divBdr>
            <w:top w:val="none" w:sz="0" w:space="0" w:color="auto"/>
            <w:left w:val="none" w:sz="0" w:space="0" w:color="auto"/>
            <w:bottom w:val="none" w:sz="0" w:space="0" w:color="auto"/>
            <w:right w:val="none" w:sz="0" w:space="0" w:color="auto"/>
          </w:divBdr>
          <w:divsChild>
            <w:div w:id="510067470">
              <w:marLeft w:val="0"/>
              <w:marRight w:val="0"/>
              <w:marTop w:val="0"/>
              <w:marBottom w:val="0"/>
              <w:divBdr>
                <w:top w:val="none" w:sz="0" w:space="0" w:color="auto"/>
                <w:left w:val="none" w:sz="0" w:space="0" w:color="auto"/>
                <w:bottom w:val="none" w:sz="0" w:space="0" w:color="auto"/>
                <w:right w:val="none" w:sz="0" w:space="0" w:color="auto"/>
              </w:divBdr>
            </w:div>
          </w:divsChild>
        </w:div>
        <w:div w:id="688028059">
          <w:marLeft w:val="0"/>
          <w:marRight w:val="0"/>
          <w:marTop w:val="0"/>
          <w:marBottom w:val="0"/>
          <w:divBdr>
            <w:top w:val="none" w:sz="0" w:space="0" w:color="auto"/>
            <w:left w:val="none" w:sz="0" w:space="0" w:color="auto"/>
            <w:bottom w:val="none" w:sz="0" w:space="0" w:color="auto"/>
            <w:right w:val="none" w:sz="0" w:space="0" w:color="auto"/>
          </w:divBdr>
          <w:divsChild>
            <w:div w:id="2008902568">
              <w:marLeft w:val="0"/>
              <w:marRight w:val="0"/>
              <w:marTop w:val="0"/>
              <w:marBottom w:val="0"/>
              <w:divBdr>
                <w:top w:val="none" w:sz="0" w:space="0" w:color="auto"/>
                <w:left w:val="none" w:sz="0" w:space="0" w:color="auto"/>
                <w:bottom w:val="none" w:sz="0" w:space="0" w:color="auto"/>
                <w:right w:val="none" w:sz="0" w:space="0" w:color="auto"/>
              </w:divBdr>
            </w:div>
          </w:divsChild>
        </w:div>
        <w:div w:id="691537737">
          <w:marLeft w:val="0"/>
          <w:marRight w:val="0"/>
          <w:marTop w:val="0"/>
          <w:marBottom w:val="0"/>
          <w:divBdr>
            <w:top w:val="none" w:sz="0" w:space="0" w:color="auto"/>
            <w:left w:val="none" w:sz="0" w:space="0" w:color="auto"/>
            <w:bottom w:val="none" w:sz="0" w:space="0" w:color="auto"/>
            <w:right w:val="none" w:sz="0" w:space="0" w:color="auto"/>
          </w:divBdr>
          <w:divsChild>
            <w:div w:id="1574466466">
              <w:marLeft w:val="0"/>
              <w:marRight w:val="0"/>
              <w:marTop w:val="0"/>
              <w:marBottom w:val="0"/>
              <w:divBdr>
                <w:top w:val="none" w:sz="0" w:space="0" w:color="auto"/>
                <w:left w:val="none" w:sz="0" w:space="0" w:color="auto"/>
                <w:bottom w:val="none" w:sz="0" w:space="0" w:color="auto"/>
                <w:right w:val="none" w:sz="0" w:space="0" w:color="auto"/>
              </w:divBdr>
            </w:div>
          </w:divsChild>
        </w:div>
        <w:div w:id="692999658">
          <w:marLeft w:val="0"/>
          <w:marRight w:val="0"/>
          <w:marTop w:val="0"/>
          <w:marBottom w:val="0"/>
          <w:divBdr>
            <w:top w:val="none" w:sz="0" w:space="0" w:color="auto"/>
            <w:left w:val="none" w:sz="0" w:space="0" w:color="auto"/>
            <w:bottom w:val="none" w:sz="0" w:space="0" w:color="auto"/>
            <w:right w:val="none" w:sz="0" w:space="0" w:color="auto"/>
          </w:divBdr>
          <w:divsChild>
            <w:div w:id="606229821">
              <w:marLeft w:val="0"/>
              <w:marRight w:val="0"/>
              <w:marTop w:val="0"/>
              <w:marBottom w:val="0"/>
              <w:divBdr>
                <w:top w:val="none" w:sz="0" w:space="0" w:color="auto"/>
                <w:left w:val="none" w:sz="0" w:space="0" w:color="auto"/>
                <w:bottom w:val="none" w:sz="0" w:space="0" w:color="auto"/>
                <w:right w:val="none" w:sz="0" w:space="0" w:color="auto"/>
              </w:divBdr>
            </w:div>
          </w:divsChild>
        </w:div>
        <w:div w:id="693387123">
          <w:marLeft w:val="0"/>
          <w:marRight w:val="0"/>
          <w:marTop w:val="0"/>
          <w:marBottom w:val="0"/>
          <w:divBdr>
            <w:top w:val="none" w:sz="0" w:space="0" w:color="auto"/>
            <w:left w:val="none" w:sz="0" w:space="0" w:color="auto"/>
            <w:bottom w:val="none" w:sz="0" w:space="0" w:color="auto"/>
            <w:right w:val="none" w:sz="0" w:space="0" w:color="auto"/>
          </w:divBdr>
          <w:divsChild>
            <w:div w:id="1782382973">
              <w:marLeft w:val="0"/>
              <w:marRight w:val="0"/>
              <w:marTop w:val="0"/>
              <w:marBottom w:val="0"/>
              <w:divBdr>
                <w:top w:val="none" w:sz="0" w:space="0" w:color="auto"/>
                <w:left w:val="none" w:sz="0" w:space="0" w:color="auto"/>
                <w:bottom w:val="none" w:sz="0" w:space="0" w:color="auto"/>
                <w:right w:val="none" w:sz="0" w:space="0" w:color="auto"/>
              </w:divBdr>
            </w:div>
          </w:divsChild>
        </w:div>
        <w:div w:id="695890326">
          <w:marLeft w:val="0"/>
          <w:marRight w:val="0"/>
          <w:marTop w:val="0"/>
          <w:marBottom w:val="0"/>
          <w:divBdr>
            <w:top w:val="none" w:sz="0" w:space="0" w:color="auto"/>
            <w:left w:val="none" w:sz="0" w:space="0" w:color="auto"/>
            <w:bottom w:val="none" w:sz="0" w:space="0" w:color="auto"/>
            <w:right w:val="none" w:sz="0" w:space="0" w:color="auto"/>
          </w:divBdr>
          <w:divsChild>
            <w:div w:id="1843080099">
              <w:marLeft w:val="0"/>
              <w:marRight w:val="0"/>
              <w:marTop w:val="0"/>
              <w:marBottom w:val="0"/>
              <w:divBdr>
                <w:top w:val="none" w:sz="0" w:space="0" w:color="auto"/>
                <w:left w:val="none" w:sz="0" w:space="0" w:color="auto"/>
                <w:bottom w:val="none" w:sz="0" w:space="0" w:color="auto"/>
                <w:right w:val="none" w:sz="0" w:space="0" w:color="auto"/>
              </w:divBdr>
            </w:div>
          </w:divsChild>
        </w:div>
        <w:div w:id="709957117">
          <w:marLeft w:val="0"/>
          <w:marRight w:val="0"/>
          <w:marTop w:val="0"/>
          <w:marBottom w:val="0"/>
          <w:divBdr>
            <w:top w:val="none" w:sz="0" w:space="0" w:color="auto"/>
            <w:left w:val="none" w:sz="0" w:space="0" w:color="auto"/>
            <w:bottom w:val="none" w:sz="0" w:space="0" w:color="auto"/>
            <w:right w:val="none" w:sz="0" w:space="0" w:color="auto"/>
          </w:divBdr>
          <w:divsChild>
            <w:div w:id="2107722892">
              <w:marLeft w:val="0"/>
              <w:marRight w:val="0"/>
              <w:marTop w:val="0"/>
              <w:marBottom w:val="0"/>
              <w:divBdr>
                <w:top w:val="none" w:sz="0" w:space="0" w:color="auto"/>
                <w:left w:val="none" w:sz="0" w:space="0" w:color="auto"/>
                <w:bottom w:val="none" w:sz="0" w:space="0" w:color="auto"/>
                <w:right w:val="none" w:sz="0" w:space="0" w:color="auto"/>
              </w:divBdr>
            </w:div>
          </w:divsChild>
        </w:div>
        <w:div w:id="743723838">
          <w:marLeft w:val="0"/>
          <w:marRight w:val="0"/>
          <w:marTop w:val="0"/>
          <w:marBottom w:val="0"/>
          <w:divBdr>
            <w:top w:val="none" w:sz="0" w:space="0" w:color="auto"/>
            <w:left w:val="none" w:sz="0" w:space="0" w:color="auto"/>
            <w:bottom w:val="none" w:sz="0" w:space="0" w:color="auto"/>
            <w:right w:val="none" w:sz="0" w:space="0" w:color="auto"/>
          </w:divBdr>
          <w:divsChild>
            <w:div w:id="522279920">
              <w:marLeft w:val="0"/>
              <w:marRight w:val="0"/>
              <w:marTop w:val="0"/>
              <w:marBottom w:val="0"/>
              <w:divBdr>
                <w:top w:val="none" w:sz="0" w:space="0" w:color="auto"/>
                <w:left w:val="none" w:sz="0" w:space="0" w:color="auto"/>
                <w:bottom w:val="none" w:sz="0" w:space="0" w:color="auto"/>
                <w:right w:val="none" w:sz="0" w:space="0" w:color="auto"/>
              </w:divBdr>
            </w:div>
          </w:divsChild>
        </w:div>
        <w:div w:id="767891401">
          <w:marLeft w:val="0"/>
          <w:marRight w:val="0"/>
          <w:marTop w:val="0"/>
          <w:marBottom w:val="0"/>
          <w:divBdr>
            <w:top w:val="none" w:sz="0" w:space="0" w:color="auto"/>
            <w:left w:val="none" w:sz="0" w:space="0" w:color="auto"/>
            <w:bottom w:val="none" w:sz="0" w:space="0" w:color="auto"/>
            <w:right w:val="none" w:sz="0" w:space="0" w:color="auto"/>
          </w:divBdr>
          <w:divsChild>
            <w:div w:id="1436056536">
              <w:marLeft w:val="0"/>
              <w:marRight w:val="0"/>
              <w:marTop w:val="0"/>
              <w:marBottom w:val="0"/>
              <w:divBdr>
                <w:top w:val="none" w:sz="0" w:space="0" w:color="auto"/>
                <w:left w:val="none" w:sz="0" w:space="0" w:color="auto"/>
                <w:bottom w:val="none" w:sz="0" w:space="0" w:color="auto"/>
                <w:right w:val="none" w:sz="0" w:space="0" w:color="auto"/>
              </w:divBdr>
            </w:div>
          </w:divsChild>
        </w:div>
        <w:div w:id="800732226">
          <w:marLeft w:val="0"/>
          <w:marRight w:val="0"/>
          <w:marTop w:val="0"/>
          <w:marBottom w:val="0"/>
          <w:divBdr>
            <w:top w:val="none" w:sz="0" w:space="0" w:color="auto"/>
            <w:left w:val="none" w:sz="0" w:space="0" w:color="auto"/>
            <w:bottom w:val="none" w:sz="0" w:space="0" w:color="auto"/>
            <w:right w:val="none" w:sz="0" w:space="0" w:color="auto"/>
          </w:divBdr>
          <w:divsChild>
            <w:div w:id="1408071813">
              <w:marLeft w:val="0"/>
              <w:marRight w:val="0"/>
              <w:marTop w:val="0"/>
              <w:marBottom w:val="0"/>
              <w:divBdr>
                <w:top w:val="none" w:sz="0" w:space="0" w:color="auto"/>
                <w:left w:val="none" w:sz="0" w:space="0" w:color="auto"/>
                <w:bottom w:val="none" w:sz="0" w:space="0" w:color="auto"/>
                <w:right w:val="none" w:sz="0" w:space="0" w:color="auto"/>
              </w:divBdr>
            </w:div>
          </w:divsChild>
        </w:div>
        <w:div w:id="802698409">
          <w:marLeft w:val="0"/>
          <w:marRight w:val="0"/>
          <w:marTop w:val="0"/>
          <w:marBottom w:val="0"/>
          <w:divBdr>
            <w:top w:val="none" w:sz="0" w:space="0" w:color="auto"/>
            <w:left w:val="none" w:sz="0" w:space="0" w:color="auto"/>
            <w:bottom w:val="none" w:sz="0" w:space="0" w:color="auto"/>
            <w:right w:val="none" w:sz="0" w:space="0" w:color="auto"/>
          </w:divBdr>
          <w:divsChild>
            <w:div w:id="1828475691">
              <w:marLeft w:val="0"/>
              <w:marRight w:val="0"/>
              <w:marTop w:val="0"/>
              <w:marBottom w:val="0"/>
              <w:divBdr>
                <w:top w:val="none" w:sz="0" w:space="0" w:color="auto"/>
                <w:left w:val="none" w:sz="0" w:space="0" w:color="auto"/>
                <w:bottom w:val="none" w:sz="0" w:space="0" w:color="auto"/>
                <w:right w:val="none" w:sz="0" w:space="0" w:color="auto"/>
              </w:divBdr>
            </w:div>
          </w:divsChild>
        </w:div>
        <w:div w:id="821121270">
          <w:marLeft w:val="0"/>
          <w:marRight w:val="0"/>
          <w:marTop w:val="0"/>
          <w:marBottom w:val="0"/>
          <w:divBdr>
            <w:top w:val="none" w:sz="0" w:space="0" w:color="auto"/>
            <w:left w:val="none" w:sz="0" w:space="0" w:color="auto"/>
            <w:bottom w:val="none" w:sz="0" w:space="0" w:color="auto"/>
            <w:right w:val="none" w:sz="0" w:space="0" w:color="auto"/>
          </w:divBdr>
          <w:divsChild>
            <w:div w:id="893196064">
              <w:marLeft w:val="0"/>
              <w:marRight w:val="0"/>
              <w:marTop w:val="0"/>
              <w:marBottom w:val="0"/>
              <w:divBdr>
                <w:top w:val="none" w:sz="0" w:space="0" w:color="auto"/>
                <w:left w:val="none" w:sz="0" w:space="0" w:color="auto"/>
                <w:bottom w:val="none" w:sz="0" w:space="0" w:color="auto"/>
                <w:right w:val="none" w:sz="0" w:space="0" w:color="auto"/>
              </w:divBdr>
            </w:div>
          </w:divsChild>
        </w:div>
        <w:div w:id="856893519">
          <w:marLeft w:val="0"/>
          <w:marRight w:val="0"/>
          <w:marTop w:val="0"/>
          <w:marBottom w:val="0"/>
          <w:divBdr>
            <w:top w:val="none" w:sz="0" w:space="0" w:color="auto"/>
            <w:left w:val="none" w:sz="0" w:space="0" w:color="auto"/>
            <w:bottom w:val="none" w:sz="0" w:space="0" w:color="auto"/>
            <w:right w:val="none" w:sz="0" w:space="0" w:color="auto"/>
          </w:divBdr>
          <w:divsChild>
            <w:div w:id="1600796437">
              <w:marLeft w:val="0"/>
              <w:marRight w:val="0"/>
              <w:marTop w:val="0"/>
              <w:marBottom w:val="0"/>
              <w:divBdr>
                <w:top w:val="none" w:sz="0" w:space="0" w:color="auto"/>
                <w:left w:val="none" w:sz="0" w:space="0" w:color="auto"/>
                <w:bottom w:val="none" w:sz="0" w:space="0" w:color="auto"/>
                <w:right w:val="none" w:sz="0" w:space="0" w:color="auto"/>
              </w:divBdr>
            </w:div>
          </w:divsChild>
        </w:div>
        <w:div w:id="875966018">
          <w:marLeft w:val="0"/>
          <w:marRight w:val="0"/>
          <w:marTop w:val="0"/>
          <w:marBottom w:val="0"/>
          <w:divBdr>
            <w:top w:val="none" w:sz="0" w:space="0" w:color="auto"/>
            <w:left w:val="none" w:sz="0" w:space="0" w:color="auto"/>
            <w:bottom w:val="none" w:sz="0" w:space="0" w:color="auto"/>
            <w:right w:val="none" w:sz="0" w:space="0" w:color="auto"/>
          </w:divBdr>
          <w:divsChild>
            <w:div w:id="1777942941">
              <w:marLeft w:val="0"/>
              <w:marRight w:val="0"/>
              <w:marTop w:val="0"/>
              <w:marBottom w:val="0"/>
              <w:divBdr>
                <w:top w:val="none" w:sz="0" w:space="0" w:color="auto"/>
                <w:left w:val="none" w:sz="0" w:space="0" w:color="auto"/>
                <w:bottom w:val="none" w:sz="0" w:space="0" w:color="auto"/>
                <w:right w:val="none" w:sz="0" w:space="0" w:color="auto"/>
              </w:divBdr>
            </w:div>
          </w:divsChild>
        </w:div>
        <w:div w:id="878321109">
          <w:marLeft w:val="0"/>
          <w:marRight w:val="0"/>
          <w:marTop w:val="0"/>
          <w:marBottom w:val="0"/>
          <w:divBdr>
            <w:top w:val="none" w:sz="0" w:space="0" w:color="auto"/>
            <w:left w:val="none" w:sz="0" w:space="0" w:color="auto"/>
            <w:bottom w:val="none" w:sz="0" w:space="0" w:color="auto"/>
            <w:right w:val="none" w:sz="0" w:space="0" w:color="auto"/>
          </w:divBdr>
          <w:divsChild>
            <w:div w:id="1680355619">
              <w:marLeft w:val="0"/>
              <w:marRight w:val="0"/>
              <w:marTop w:val="0"/>
              <w:marBottom w:val="0"/>
              <w:divBdr>
                <w:top w:val="none" w:sz="0" w:space="0" w:color="auto"/>
                <w:left w:val="none" w:sz="0" w:space="0" w:color="auto"/>
                <w:bottom w:val="none" w:sz="0" w:space="0" w:color="auto"/>
                <w:right w:val="none" w:sz="0" w:space="0" w:color="auto"/>
              </w:divBdr>
            </w:div>
          </w:divsChild>
        </w:div>
        <w:div w:id="880820695">
          <w:marLeft w:val="0"/>
          <w:marRight w:val="0"/>
          <w:marTop w:val="0"/>
          <w:marBottom w:val="0"/>
          <w:divBdr>
            <w:top w:val="none" w:sz="0" w:space="0" w:color="auto"/>
            <w:left w:val="none" w:sz="0" w:space="0" w:color="auto"/>
            <w:bottom w:val="none" w:sz="0" w:space="0" w:color="auto"/>
            <w:right w:val="none" w:sz="0" w:space="0" w:color="auto"/>
          </w:divBdr>
          <w:divsChild>
            <w:div w:id="1347369866">
              <w:marLeft w:val="0"/>
              <w:marRight w:val="0"/>
              <w:marTop w:val="0"/>
              <w:marBottom w:val="0"/>
              <w:divBdr>
                <w:top w:val="none" w:sz="0" w:space="0" w:color="auto"/>
                <w:left w:val="none" w:sz="0" w:space="0" w:color="auto"/>
                <w:bottom w:val="none" w:sz="0" w:space="0" w:color="auto"/>
                <w:right w:val="none" w:sz="0" w:space="0" w:color="auto"/>
              </w:divBdr>
            </w:div>
          </w:divsChild>
        </w:div>
        <w:div w:id="884147085">
          <w:marLeft w:val="0"/>
          <w:marRight w:val="0"/>
          <w:marTop w:val="0"/>
          <w:marBottom w:val="0"/>
          <w:divBdr>
            <w:top w:val="none" w:sz="0" w:space="0" w:color="auto"/>
            <w:left w:val="none" w:sz="0" w:space="0" w:color="auto"/>
            <w:bottom w:val="none" w:sz="0" w:space="0" w:color="auto"/>
            <w:right w:val="none" w:sz="0" w:space="0" w:color="auto"/>
          </w:divBdr>
          <w:divsChild>
            <w:div w:id="1746804045">
              <w:marLeft w:val="0"/>
              <w:marRight w:val="0"/>
              <w:marTop w:val="0"/>
              <w:marBottom w:val="0"/>
              <w:divBdr>
                <w:top w:val="none" w:sz="0" w:space="0" w:color="auto"/>
                <w:left w:val="none" w:sz="0" w:space="0" w:color="auto"/>
                <w:bottom w:val="none" w:sz="0" w:space="0" w:color="auto"/>
                <w:right w:val="none" w:sz="0" w:space="0" w:color="auto"/>
              </w:divBdr>
            </w:div>
          </w:divsChild>
        </w:div>
        <w:div w:id="911082521">
          <w:marLeft w:val="0"/>
          <w:marRight w:val="0"/>
          <w:marTop w:val="0"/>
          <w:marBottom w:val="0"/>
          <w:divBdr>
            <w:top w:val="none" w:sz="0" w:space="0" w:color="auto"/>
            <w:left w:val="none" w:sz="0" w:space="0" w:color="auto"/>
            <w:bottom w:val="none" w:sz="0" w:space="0" w:color="auto"/>
            <w:right w:val="none" w:sz="0" w:space="0" w:color="auto"/>
          </w:divBdr>
          <w:divsChild>
            <w:div w:id="601107467">
              <w:marLeft w:val="0"/>
              <w:marRight w:val="0"/>
              <w:marTop w:val="0"/>
              <w:marBottom w:val="0"/>
              <w:divBdr>
                <w:top w:val="none" w:sz="0" w:space="0" w:color="auto"/>
                <w:left w:val="none" w:sz="0" w:space="0" w:color="auto"/>
                <w:bottom w:val="none" w:sz="0" w:space="0" w:color="auto"/>
                <w:right w:val="none" w:sz="0" w:space="0" w:color="auto"/>
              </w:divBdr>
            </w:div>
          </w:divsChild>
        </w:div>
        <w:div w:id="918172377">
          <w:marLeft w:val="0"/>
          <w:marRight w:val="0"/>
          <w:marTop w:val="0"/>
          <w:marBottom w:val="0"/>
          <w:divBdr>
            <w:top w:val="none" w:sz="0" w:space="0" w:color="auto"/>
            <w:left w:val="none" w:sz="0" w:space="0" w:color="auto"/>
            <w:bottom w:val="none" w:sz="0" w:space="0" w:color="auto"/>
            <w:right w:val="none" w:sz="0" w:space="0" w:color="auto"/>
          </w:divBdr>
          <w:divsChild>
            <w:div w:id="371079630">
              <w:marLeft w:val="0"/>
              <w:marRight w:val="0"/>
              <w:marTop w:val="0"/>
              <w:marBottom w:val="0"/>
              <w:divBdr>
                <w:top w:val="none" w:sz="0" w:space="0" w:color="auto"/>
                <w:left w:val="none" w:sz="0" w:space="0" w:color="auto"/>
                <w:bottom w:val="none" w:sz="0" w:space="0" w:color="auto"/>
                <w:right w:val="none" w:sz="0" w:space="0" w:color="auto"/>
              </w:divBdr>
            </w:div>
          </w:divsChild>
        </w:div>
        <w:div w:id="918750155">
          <w:marLeft w:val="0"/>
          <w:marRight w:val="0"/>
          <w:marTop w:val="0"/>
          <w:marBottom w:val="0"/>
          <w:divBdr>
            <w:top w:val="none" w:sz="0" w:space="0" w:color="auto"/>
            <w:left w:val="none" w:sz="0" w:space="0" w:color="auto"/>
            <w:bottom w:val="none" w:sz="0" w:space="0" w:color="auto"/>
            <w:right w:val="none" w:sz="0" w:space="0" w:color="auto"/>
          </w:divBdr>
          <w:divsChild>
            <w:div w:id="542180570">
              <w:marLeft w:val="0"/>
              <w:marRight w:val="0"/>
              <w:marTop w:val="0"/>
              <w:marBottom w:val="0"/>
              <w:divBdr>
                <w:top w:val="none" w:sz="0" w:space="0" w:color="auto"/>
                <w:left w:val="none" w:sz="0" w:space="0" w:color="auto"/>
                <w:bottom w:val="none" w:sz="0" w:space="0" w:color="auto"/>
                <w:right w:val="none" w:sz="0" w:space="0" w:color="auto"/>
              </w:divBdr>
            </w:div>
          </w:divsChild>
        </w:div>
        <w:div w:id="926496457">
          <w:marLeft w:val="0"/>
          <w:marRight w:val="0"/>
          <w:marTop w:val="0"/>
          <w:marBottom w:val="0"/>
          <w:divBdr>
            <w:top w:val="none" w:sz="0" w:space="0" w:color="auto"/>
            <w:left w:val="none" w:sz="0" w:space="0" w:color="auto"/>
            <w:bottom w:val="none" w:sz="0" w:space="0" w:color="auto"/>
            <w:right w:val="none" w:sz="0" w:space="0" w:color="auto"/>
          </w:divBdr>
          <w:divsChild>
            <w:div w:id="1678733762">
              <w:marLeft w:val="0"/>
              <w:marRight w:val="0"/>
              <w:marTop w:val="0"/>
              <w:marBottom w:val="0"/>
              <w:divBdr>
                <w:top w:val="none" w:sz="0" w:space="0" w:color="auto"/>
                <w:left w:val="none" w:sz="0" w:space="0" w:color="auto"/>
                <w:bottom w:val="none" w:sz="0" w:space="0" w:color="auto"/>
                <w:right w:val="none" w:sz="0" w:space="0" w:color="auto"/>
              </w:divBdr>
            </w:div>
          </w:divsChild>
        </w:div>
        <w:div w:id="930089930">
          <w:marLeft w:val="0"/>
          <w:marRight w:val="0"/>
          <w:marTop w:val="0"/>
          <w:marBottom w:val="0"/>
          <w:divBdr>
            <w:top w:val="none" w:sz="0" w:space="0" w:color="auto"/>
            <w:left w:val="none" w:sz="0" w:space="0" w:color="auto"/>
            <w:bottom w:val="none" w:sz="0" w:space="0" w:color="auto"/>
            <w:right w:val="none" w:sz="0" w:space="0" w:color="auto"/>
          </w:divBdr>
          <w:divsChild>
            <w:div w:id="1719819242">
              <w:marLeft w:val="0"/>
              <w:marRight w:val="0"/>
              <w:marTop w:val="0"/>
              <w:marBottom w:val="0"/>
              <w:divBdr>
                <w:top w:val="none" w:sz="0" w:space="0" w:color="auto"/>
                <w:left w:val="none" w:sz="0" w:space="0" w:color="auto"/>
                <w:bottom w:val="none" w:sz="0" w:space="0" w:color="auto"/>
                <w:right w:val="none" w:sz="0" w:space="0" w:color="auto"/>
              </w:divBdr>
            </w:div>
          </w:divsChild>
        </w:div>
        <w:div w:id="975834526">
          <w:marLeft w:val="0"/>
          <w:marRight w:val="0"/>
          <w:marTop w:val="0"/>
          <w:marBottom w:val="0"/>
          <w:divBdr>
            <w:top w:val="none" w:sz="0" w:space="0" w:color="auto"/>
            <w:left w:val="none" w:sz="0" w:space="0" w:color="auto"/>
            <w:bottom w:val="none" w:sz="0" w:space="0" w:color="auto"/>
            <w:right w:val="none" w:sz="0" w:space="0" w:color="auto"/>
          </w:divBdr>
          <w:divsChild>
            <w:div w:id="923299175">
              <w:marLeft w:val="0"/>
              <w:marRight w:val="0"/>
              <w:marTop w:val="0"/>
              <w:marBottom w:val="0"/>
              <w:divBdr>
                <w:top w:val="none" w:sz="0" w:space="0" w:color="auto"/>
                <w:left w:val="none" w:sz="0" w:space="0" w:color="auto"/>
                <w:bottom w:val="none" w:sz="0" w:space="0" w:color="auto"/>
                <w:right w:val="none" w:sz="0" w:space="0" w:color="auto"/>
              </w:divBdr>
            </w:div>
          </w:divsChild>
        </w:div>
        <w:div w:id="987056359">
          <w:marLeft w:val="0"/>
          <w:marRight w:val="0"/>
          <w:marTop w:val="0"/>
          <w:marBottom w:val="0"/>
          <w:divBdr>
            <w:top w:val="none" w:sz="0" w:space="0" w:color="auto"/>
            <w:left w:val="none" w:sz="0" w:space="0" w:color="auto"/>
            <w:bottom w:val="none" w:sz="0" w:space="0" w:color="auto"/>
            <w:right w:val="none" w:sz="0" w:space="0" w:color="auto"/>
          </w:divBdr>
          <w:divsChild>
            <w:div w:id="776756422">
              <w:marLeft w:val="0"/>
              <w:marRight w:val="0"/>
              <w:marTop w:val="0"/>
              <w:marBottom w:val="0"/>
              <w:divBdr>
                <w:top w:val="none" w:sz="0" w:space="0" w:color="auto"/>
                <w:left w:val="none" w:sz="0" w:space="0" w:color="auto"/>
                <w:bottom w:val="none" w:sz="0" w:space="0" w:color="auto"/>
                <w:right w:val="none" w:sz="0" w:space="0" w:color="auto"/>
              </w:divBdr>
            </w:div>
          </w:divsChild>
        </w:div>
        <w:div w:id="994724335">
          <w:marLeft w:val="0"/>
          <w:marRight w:val="0"/>
          <w:marTop w:val="0"/>
          <w:marBottom w:val="0"/>
          <w:divBdr>
            <w:top w:val="none" w:sz="0" w:space="0" w:color="auto"/>
            <w:left w:val="none" w:sz="0" w:space="0" w:color="auto"/>
            <w:bottom w:val="none" w:sz="0" w:space="0" w:color="auto"/>
            <w:right w:val="none" w:sz="0" w:space="0" w:color="auto"/>
          </w:divBdr>
          <w:divsChild>
            <w:div w:id="1712609001">
              <w:marLeft w:val="0"/>
              <w:marRight w:val="0"/>
              <w:marTop w:val="0"/>
              <w:marBottom w:val="0"/>
              <w:divBdr>
                <w:top w:val="none" w:sz="0" w:space="0" w:color="auto"/>
                <w:left w:val="none" w:sz="0" w:space="0" w:color="auto"/>
                <w:bottom w:val="none" w:sz="0" w:space="0" w:color="auto"/>
                <w:right w:val="none" w:sz="0" w:space="0" w:color="auto"/>
              </w:divBdr>
            </w:div>
          </w:divsChild>
        </w:div>
        <w:div w:id="1014528240">
          <w:marLeft w:val="0"/>
          <w:marRight w:val="0"/>
          <w:marTop w:val="0"/>
          <w:marBottom w:val="0"/>
          <w:divBdr>
            <w:top w:val="none" w:sz="0" w:space="0" w:color="auto"/>
            <w:left w:val="none" w:sz="0" w:space="0" w:color="auto"/>
            <w:bottom w:val="none" w:sz="0" w:space="0" w:color="auto"/>
            <w:right w:val="none" w:sz="0" w:space="0" w:color="auto"/>
          </w:divBdr>
          <w:divsChild>
            <w:div w:id="50080799">
              <w:marLeft w:val="0"/>
              <w:marRight w:val="0"/>
              <w:marTop w:val="0"/>
              <w:marBottom w:val="0"/>
              <w:divBdr>
                <w:top w:val="none" w:sz="0" w:space="0" w:color="auto"/>
                <w:left w:val="none" w:sz="0" w:space="0" w:color="auto"/>
                <w:bottom w:val="none" w:sz="0" w:space="0" w:color="auto"/>
                <w:right w:val="none" w:sz="0" w:space="0" w:color="auto"/>
              </w:divBdr>
            </w:div>
          </w:divsChild>
        </w:div>
        <w:div w:id="1031031062">
          <w:marLeft w:val="0"/>
          <w:marRight w:val="0"/>
          <w:marTop w:val="0"/>
          <w:marBottom w:val="0"/>
          <w:divBdr>
            <w:top w:val="none" w:sz="0" w:space="0" w:color="auto"/>
            <w:left w:val="none" w:sz="0" w:space="0" w:color="auto"/>
            <w:bottom w:val="none" w:sz="0" w:space="0" w:color="auto"/>
            <w:right w:val="none" w:sz="0" w:space="0" w:color="auto"/>
          </w:divBdr>
          <w:divsChild>
            <w:div w:id="1016077102">
              <w:marLeft w:val="0"/>
              <w:marRight w:val="0"/>
              <w:marTop w:val="0"/>
              <w:marBottom w:val="0"/>
              <w:divBdr>
                <w:top w:val="none" w:sz="0" w:space="0" w:color="auto"/>
                <w:left w:val="none" w:sz="0" w:space="0" w:color="auto"/>
                <w:bottom w:val="none" w:sz="0" w:space="0" w:color="auto"/>
                <w:right w:val="none" w:sz="0" w:space="0" w:color="auto"/>
              </w:divBdr>
            </w:div>
          </w:divsChild>
        </w:div>
        <w:div w:id="1036544705">
          <w:marLeft w:val="0"/>
          <w:marRight w:val="0"/>
          <w:marTop w:val="0"/>
          <w:marBottom w:val="0"/>
          <w:divBdr>
            <w:top w:val="none" w:sz="0" w:space="0" w:color="auto"/>
            <w:left w:val="none" w:sz="0" w:space="0" w:color="auto"/>
            <w:bottom w:val="none" w:sz="0" w:space="0" w:color="auto"/>
            <w:right w:val="none" w:sz="0" w:space="0" w:color="auto"/>
          </w:divBdr>
          <w:divsChild>
            <w:div w:id="1954942812">
              <w:marLeft w:val="0"/>
              <w:marRight w:val="0"/>
              <w:marTop w:val="0"/>
              <w:marBottom w:val="0"/>
              <w:divBdr>
                <w:top w:val="none" w:sz="0" w:space="0" w:color="auto"/>
                <w:left w:val="none" w:sz="0" w:space="0" w:color="auto"/>
                <w:bottom w:val="none" w:sz="0" w:space="0" w:color="auto"/>
                <w:right w:val="none" w:sz="0" w:space="0" w:color="auto"/>
              </w:divBdr>
            </w:div>
          </w:divsChild>
        </w:div>
        <w:div w:id="1074011277">
          <w:marLeft w:val="0"/>
          <w:marRight w:val="0"/>
          <w:marTop w:val="0"/>
          <w:marBottom w:val="0"/>
          <w:divBdr>
            <w:top w:val="none" w:sz="0" w:space="0" w:color="auto"/>
            <w:left w:val="none" w:sz="0" w:space="0" w:color="auto"/>
            <w:bottom w:val="none" w:sz="0" w:space="0" w:color="auto"/>
            <w:right w:val="none" w:sz="0" w:space="0" w:color="auto"/>
          </w:divBdr>
          <w:divsChild>
            <w:div w:id="574894989">
              <w:marLeft w:val="0"/>
              <w:marRight w:val="0"/>
              <w:marTop w:val="0"/>
              <w:marBottom w:val="0"/>
              <w:divBdr>
                <w:top w:val="none" w:sz="0" w:space="0" w:color="auto"/>
                <w:left w:val="none" w:sz="0" w:space="0" w:color="auto"/>
                <w:bottom w:val="none" w:sz="0" w:space="0" w:color="auto"/>
                <w:right w:val="none" w:sz="0" w:space="0" w:color="auto"/>
              </w:divBdr>
            </w:div>
          </w:divsChild>
        </w:div>
        <w:div w:id="1093670516">
          <w:marLeft w:val="0"/>
          <w:marRight w:val="0"/>
          <w:marTop w:val="0"/>
          <w:marBottom w:val="0"/>
          <w:divBdr>
            <w:top w:val="none" w:sz="0" w:space="0" w:color="auto"/>
            <w:left w:val="none" w:sz="0" w:space="0" w:color="auto"/>
            <w:bottom w:val="none" w:sz="0" w:space="0" w:color="auto"/>
            <w:right w:val="none" w:sz="0" w:space="0" w:color="auto"/>
          </w:divBdr>
          <w:divsChild>
            <w:div w:id="2071347546">
              <w:marLeft w:val="0"/>
              <w:marRight w:val="0"/>
              <w:marTop w:val="0"/>
              <w:marBottom w:val="0"/>
              <w:divBdr>
                <w:top w:val="none" w:sz="0" w:space="0" w:color="auto"/>
                <w:left w:val="none" w:sz="0" w:space="0" w:color="auto"/>
                <w:bottom w:val="none" w:sz="0" w:space="0" w:color="auto"/>
                <w:right w:val="none" w:sz="0" w:space="0" w:color="auto"/>
              </w:divBdr>
            </w:div>
          </w:divsChild>
        </w:div>
        <w:div w:id="1112478868">
          <w:marLeft w:val="0"/>
          <w:marRight w:val="0"/>
          <w:marTop w:val="0"/>
          <w:marBottom w:val="0"/>
          <w:divBdr>
            <w:top w:val="none" w:sz="0" w:space="0" w:color="auto"/>
            <w:left w:val="none" w:sz="0" w:space="0" w:color="auto"/>
            <w:bottom w:val="none" w:sz="0" w:space="0" w:color="auto"/>
            <w:right w:val="none" w:sz="0" w:space="0" w:color="auto"/>
          </w:divBdr>
          <w:divsChild>
            <w:div w:id="876893875">
              <w:marLeft w:val="0"/>
              <w:marRight w:val="0"/>
              <w:marTop w:val="0"/>
              <w:marBottom w:val="0"/>
              <w:divBdr>
                <w:top w:val="none" w:sz="0" w:space="0" w:color="auto"/>
                <w:left w:val="none" w:sz="0" w:space="0" w:color="auto"/>
                <w:bottom w:val="none" w:sz="0" w:space="0" w:color="auto"/>
                <w:right w:val="none" w:sz="0" w:space="0" w:color="auto"/>
              </w:divBdr>
            </w:div>
          </w:divsChild>
        </w:div>
        <w:div w:id="1128276365">
          <w:marLeft w:val="0"/>
          <w:marRight w:val="0"/>
          <w:marTop w:val="0"/>
          <w:marBottom w:val="0"/>
          <w:divBdr>
            <w:top w:val="none" w:sz="0" w:space="0" w:color="auto"/>
            <w:left w:val="none" w:sz="0" w:space="0" w:color="auto"/>
            <w:bottom w:val="none" w:sz="0" w:space="0" w:color="auto"/>
            <w:right w:val="none" w:sz="0" w:space="0" w:color="auto"/>
          </w:divBdr>
          <w:divsChild>
            <w:div w:id="437874921">
              <w:marLeft w:val="0"/>
              <w:marRight w:val="0"/>
              <w:marTop w:val="0"/>
              <w:marBottom w:val="0"/>
              <w:divBdr>
                <w:top w:val="none" w:sz="0" w:space="0" w:color="auto"/>
                <w:left w:val="none" w:sz="0" w:space="0" w:color="auto"/>
                <w:bottom w:val="none" w:sz="0" w:space="0" w:color="auto"/>
                <w:right w:val="none" w:sz="0" w:space="0" w:color="auto"/>
              </w:divBdr>
            </w:div>
          </w:divsChild>
        </w:div>
        <w:div w:id="1135442181">
          <w:marLeft w:val="0"/>
          <w:marRight w:val="0"/>
          <w:marTop w:val="0"/>
          <w:marBottom w:val="0"/>
          <w:divBdr>
            <w:top w:val="none" w:sz="0" w:space="0" w:color="auto"/>
            <w:left w:val="none" w:sz="0" w:space="0" w:color="auto"/>
            <w:bottom w:val="none" w:sz="0" w:space="0" w:color="auto"/>
            <w:right w:val="none" w:sz="0" w:space="0" w:color="auto"/>
          </w:divBdr>
          <w:divsChild>
            <w:div w:id="2003773585">
              <w:marLeft w:val="0"/>
              <w:marRight w:val="0"/>
              <w:marTop w:val="0"/>
              <w:marBottom w:val="0"/>
              <w:divBdr>
                <w:top w:val="none" w:sz="0" w:space="0" w:color="auto"/>
                <w:left w:val="none" w:sz="0" w:space="0" w:color="auto"/>
                <w:bottom w:val="none" w:sz="0" w:space="0" w:color="auto"/>
                <w:right w:val="none" w:sz="0" w:space="0" w:color="auto"/>
              </w:divBdr>
            </w:div>
          </w:divsChild>
        </w:div>
        <w:div w:id="1143740325">
          <w:marLeft w:val="0"/>
          <w:marRight w:val="0"/>
          <w:marTop w:val="0"/>
          <w:marBottom w:val="0"/>
          <w:divBdr>
            <w:top w:val="none" w:sz="0" w:space="0" w:color="auto"/>
            <w:left w:val="none" w:sz="0" w:space="0" w:color="auto"/>
            <w:bottom w:val="none" w:sz="0" w:space="0" w:color="auto"/>
            <w:right w:val="none" w:sz="0" w:space="0" w:color="auto"/>
          </w:divBdr>
          <w:divsChild>
            <w:div w:id="755783341">
              <w:marLeft w:val="0"/>
              <w:marRight w:val="0"/>
              <w:marTop w:val="0"/>
              <w:marBottom w:val="0"/>
              <w:divBdr>
                <w:top w:val="none" w:sz="0" w:space="0" w:color="auto"/>
                <w:left w:val="none" w:sz="0" w:space="0" w:color="auto"/>
                <w:bottom w:val="none" w:sz="0" w:space="0" w:color="auto"/>
                <w:right w:val="none" w:sz="0" w:space="0" w:color="auto"/>
              </w:divBdr>
            </w:div>
          </w:divsChild>
        </w:div>
        <w:div w:id="1173182492">
          <w:marLeft w:val="0"/>
          <w:marRight w:val="0"/>
          <w:marTop w:val="0"/>
          <w:marBottom w:val="0"/>
          <w:divBdr>
            <w:top w:val="none" w:sz="0" w:space="0" w:color="auto"/>
            <w:left w:val="none" w:sz="0" w:space="0" w:color="auto"/>
            <w:bottom w:val="none" w:sz="0" w:space="0" w:color="auto"/>
            <w:right w:val="none" w:sz="0" w:space="0" w:color="auto"/>
          </w:divBdr>
          <w:divsChild>
            <w:div w:id="790855621">
              <w:marLeft w:val="0"/>
              <w:marRight w:val="0"/>
              <w:marTop w:val="0"/>
              <w:marBottom w:val="0"/>
              <w:divBdr>
                <w:top w:val="none" w:sz="0" w:space="0" w:color="auto"/>
                <w:left w:val="none" w:sz="0" w:space="0" w:color="auto"/>
                <w:bottom w:val="none" w:sz="0" w:space="0" w:color="auto"/>
                <w:right w:val="none" w:sz="0" w:space="0" w:color="auto"/>
              </w:divBdr>
            </w:div>
          </w:divsChild>
        </w:div>
        <w:div w:id="1179927338">
          <w:marLeft w:val="0"/>
          <w:marRight w:val="0"/>
          <w:marTop w:val="0"/>
          <w:marBottom w:val="0"/>
          <w:divBdr>
            <w:top w:val="none" w:sz="0" w:space="0" w:color="auto"/>
            <w:left w:val="none" w:sz="0" w:space="0" w:color="auto"/>
            <w:bottom w:val="none" w:sz="0" w:space="0" w:color="auto"/>
            <w:right w:val="none" w:sz="0" w:space="0" w:color="auto"/>
          </w:divBdr>
          <w:divsChild>
            <w:div w:id="1558927998">
              <w:marLeft w:val="0"/>
              <w:marRight w:val="0"/>
              <w:marTop w:val="0"/>
              <w:marBottom w:val="0"/>
              <w:divBdr>
                <w:top w:val="none" w:sz="0" w:space="0" w:color="auto"/>
                <w:left w:val="none" w:sz="0" w:space="0" w:color="auto"/>
                <w:bottom w:val="none" w:sz="0" w:space="0" w:color="auto"/>
                <w:right w:val="none" w:sz="0" w:space="0" w:color="auto"/>
              </w:divBdr>
            </w:div>
          </w:divsChild>
        </w:div>
        <w:div w:id="1181629492">
          <w:marLeft w:val="0"/>
          <w:marRight w:val="0"/>
          <w:marTop w:val="0"/>
          <w:marBottom w:val="0"/>
          <w:divBdr>
            <w:top w:val="none" w:sz="0" w:space="0" w:color="auto"/>
            <w:left w:val="none" w:sz="0" w:space="0" w:color="auto"/>
            <w:bottom w:val="none" w:sz="0" w:space="0" w:color="auto"/>
            <w:right w:val="none" w:sz="0" w:space="0" w:color="auto"/>
          </w:divBdr>
          <w:divsChild>
            <w:div w:id="851140346">
              <w:marLeft w:val="0"/>
              <w:marRight w:val="0"/>
              <w:marTop w:val="0"/>
              <w:marBottom w:val="0"/>
              <w:divBdr>
                <w:top w:val="none" w:sz="0" w:space="0" w:color="auto"/>
                <w:left w:val="none" w:sz="0" w:space="0" w:color="auto"/>
                <w:bottom w:val="none" w:sz="0" w:space="0" w:color="auto"/>
                <w:right w:val="none" w:sz="0" w:space="0" w:color="auto"/>
              </w:divBdr>
            </w:div>
          </w:divsChild>
        </w:div>
        <w:div w:id="1183006711">
          <w:marLeft w:val="0"/>
          <w:marRight w:val="0"/>
          <w:marTop w:val="0"/>
          <w:marBottom w:val="0"/>
          <w:divBdr>
            <w:top w:val="none" w:sz="0" w:space="0" w:color="auto"/>
            <w:left w:val="none" w:sz="0" w:space="0" w:color="auto"/>
            <w:bottom w:val="none" w:sz="0" w:space="0" w:color="auto"/>
            <w:right w:val="none" w:sz="0" w:space="0" w:color="auto"/>
          </w:divBdr>
          <w:divsChild>
            <w:div w:id="1065371017">
              <w:marLeft w:val="0"/>
              <w:marRight w:val="0"/>
              <w:marTop w:val="0"/>
              <w:marBottom w:val="0"/>
              <w:divBdr>
                <w:top w:val="none" w:sz="0" w:space="0" w:color="auto"/>
                <w:left w:val="none" w:sz="0" w:space="0" w:color="auto"/>
                <w:bottom w:val="none" w:sz="0" w:space="0" w:color="auto"/>
                <w:right w:val="none" w:sz="0" w:space="0" w:color="auto"/>
              </w:divBdr>
            </w:div>
          </w:divsChild>
        </w:div>
        <w:div w:id="1208107594">
          <w:marLeft w:val="0"/>
          <w:marRight w:val="0"/>
          <w:marTop w:val="0"/>
          <w:marBottom w:val="0"/>
          <w:divBdr>
            <w:top w:val="none" w:sz="0" w:space="0" w:color="auto"/>
            <w:left w:val="none" w:sz="0" w:space="0" w:color="auto"/>
            <w:bottom w:val="none" w:sz="0" w:space="0" w:color="auto"/>
            <w:right w:val="none" w:sz="0" w:space="0" w:color="auto"/>
          </w:divBdr>
          <w:divsChild>
            <w:div w:id="1129470857">
              <w:marLeft w:val="0"/>
              <w:marRight w:val="0"/>
              <w:marTop w:val="0"/>
              <w:marBottom w:val="0"/>
              <w:divBdr>
                <w:top w:val="none" w:sz="0" w:space="0" w:color="auto"/>
                <w:left w:val="none" w:sz="0" w:space="0" w:color="auto"/>
                <w:bottom w:val="none" w:sz="0" w:space="0" w:color="auto"/>
                <w:right w:val="none" w:sz="0" w:space="0" w:color="auto"/>
              </w:divBdr>
            </w:div>
          </w:divsChild>
        </w:div>
        <w:div w:id="1213536407">
          <w:marLeft w:val="0"/>
          <w:marRight w:val="0"/>
          <w:marTop w:val="0"/>
          <w:marBottom w:val="0"/>
          <w:divBdr>
            <w:top w:val="none" w:sz="0" w:space="0" w:color="auto"/>
            <w:left w:val="none" w:sz="0" w:space="0" w:color="auto"/>
            <w:bottom w:val="none" w:sz="0" w:space="0" w:color="auto"/>
            <w:right w:val="none" w:sz="0" w:space="0" w:color="auto"/>
          </w:divBdr>
          <w:divsChild>
            <w:div w:id="619991418">
              <w:marLeft w:val="0"/>
              <w:marRight w:val="0"/>
              <w:marTop w:val="0"/>
              <w:marBottom w:val="0"/>
              <w:divBdr>
                <w:top w:val="none" w:sz="0" w:space="0" w:color="auto"/>
                <w:left w:val="none" w:sz="0" w:space="0" w:color="auto"/>
                <w:bottom w:val="none" w:sz="0" w:space="0" w:color="auto"/>
                <w:right w:val="none" w:sz="0" w:space="0" w:color="auto"/>
              </w:divBdr>
            </w:div>
          </w:divsChild>
        </w:div>
        <w:div w:id="1224221136">
          <w:marLeft w:val="0"/>
          <w:marRight w:val="0"/>
          <w:marTop w:val="0"/>
          <w:marBottom w:val="0"/>
          <w:divBdr>
            <w:top w:val="none" w:sz="0" w:space="0" w:color="auto"/>
            <w:left w:val="none" w:sz="0" w:space="0" w:color="auto"/>
            <w:bottom w:val="none" w:sz="0" w:space="0" w:color="auto"/>
            <w:right w:val="none" w:sz="0" w:space="0" w:color="auto"/>
          </w:divBdr>
          <w:divsChild>
            <w:div w:id="818225666">
              <w:marLeft w:val="0"/>
              <w:marRight w:val="0"/>
              <w:marTop w:val="0"/>
              <w:marBottom w:val="0"/>
              <w:divBdr>
                <w:top w:val="none" w:sz="0" w:space="0" w:color="auto"/>
                <w:left w:val="none" w:sz="0" w:space="0" w:color="auto"/>
                <w:bottom w:val="none" w:sz="0" w:space="0" w:color="auto"/>
                <w:right w:val="none" w:sz="0" w:space="0" w:color="auto"/>
              </w:divBdr>
            </w:div>
          </w:divsChild>
        </w:div>
        <w:div w:id="1258488738">
          <w:marLeft w:val="0"/>
          <w:marRight w:val="0"/>
          <w:marTop w:val="0"/>
          <w:marBottom w:val="0"/>
          <w:divBdr>
            <w:top w:val="none" w:sz="0" w:space="0" w:color="auto"/>
            <w:left w:val="none" w:sz="0" w:space="0" w:color="auto"/>
            <w:bottom w:val="none" w:sz="0" w:space="0" w:color="auto"/>
            <w:right w:val="none" w:sz="0" w:space="0" w:color="auto"/>
          </w:divBdr>
          <w:divsChild>
            <w:div w:id="2095583455">
              <w:marLeft w:val="0"/>
              <w:marRight w:val="0"/>
              <w:marTop w:val="0"/>
              <w:marBottom w:val="0"/>
              <w:divBdr>
                <w:top w:val="none" w:sz="0" w:space="0" w:color="auto"/>
                <w:left w:val="none" w:sz="0" w:space="0" w:color="auto"/>
                <w:bottom w:val="none" w:sz="0" w:space="0" w:color="auto"/>
                <w:right w:val="none" w:sz="0" w:space="0" w:color="auto"/>
              </w:divBdr>
            </w:div>
          </w:divsChild>
        </w:div>
        <w:div w:id="1262446851">
          <w:marLeft w:val="0"/>
          <w:marRight w:val="0"/>
          <w:marTop w:val="0"/>
          <w:marBottom w:val="0"/>
          <w:divBdr>
            <w:top w:val="none" w:sz="0" w:space="0" w:color="auto"/>
            <w:left w:val="none" w:sz="0" w:space="0" w:color="auto"/>
            <w:bottom w:val="none" w:sz="0" w:space="0" w:color="auto"/>
            <w:right w:val="none" w:sz="0" w:space="0" w:color="auto"/>
          </w:divBdr>
          <w:divsChild>
            <w:div w:id="284166717">
              <w:marLeft w:val="0"/>
              <w:marRight w:val="0"/>
              <w:marTop w:val="0"/>
              <w:marBottom w:val="0"/>
              <w:divBdr>
                <w:top w:val="none" w:sz="0" w:space="0" w:color="auto"/>
                <w:left w:val="none" w:sz="0" w:space="0" w:color="auto"/>
                <w:bottom w:val="none" w:sz="0" w:space="0" w:color="auto"/>
                <w:right w:val="none" w:sz="0" w:space="0" w:color="auto"/>
              </w:divBdr>
            </w:div>
          </w:divsChild>
        </w:div>
        <w:div w:id="1287732421">
          <w:marLeft w:val="0"/>
          <w:marRight w:val="0"/>
          <w:marTop w:val="0"/>
          <w:marBottom w:val="0"/>
          <w:divBdr>
            <w:top w:val="none" w:sz="0" w:space="0" w:color="auto"/>
            <w:left w:val="none" w:sz="0" w:space="0" w:color="auto"/>
            <w:bottom w:val="none" w:sz="0" w:space="0" w:color="auto"/>
            <w:right w:val="none" w:sz="0" w:space="0" w:color="auto"/>
          </w:divBdr>
          <w:divsChild>
            <w:div w:id="1654412940">
              <w:marLeft w:val="0"/>
              <w:marRight w:val="0"/>
              <w:marTop w:val="0"/>
              <w:marBottom w:val="0"/>
              <w:divBdr>
                <w:top w:val="none" w:sz="0" w:space="0" w:color="auto"/>
                <w:left w:val="none" w:sz="0" w:space="0" w:color="auto"/>
                <w:bottom w:val="none" w:sz="0" w:space="0" w:color="auto"/>
                <w:right w:val="none" w:sz="0" w:space="0" w:color="auto"/>
              </w:divBdr>
            </w:div>
          </w:divsChild>
        </w:div>
        <w:div w:id="1291013279">
          <w:marLeft w:val="0"/>
          <w:marRight w:val="0"/>
          <w:marTop w:val="0"/>
          <w:marBottom w:val="0"/>
          <w:divBdr>
            <w:top w:val="none" w:sz="0" w:space="0" w:color="auto"/>
            <w:left w:val="none" w:sz="0" w:space="0" w:color="auto"/>
            <w:bottom w:val="none" w:sz="0" w:space="0" w:color="auto"/>
            <w:right w:val="none" w:sz="0" w:space="0" w:color="auto"/>
          </w:divBdr>
          <w:divsChild>
            <w:div w:id="235749499">
              <w:marLeft w:val="0"/>
              <w:marRight w:val="0"/>
              <w:marTop w:val="0"/>
              <w:marBottom w:val="0"/>
              <w:divBdr>
                <w:top w:val="none" w:sz="0" w:space="0" w:color="auto"/>
                <w:left w:val="none" w:sz="0" w:space="0" w:color="auto"/>
                <w:bottom w:val="none" w:sz="0" w:space="0" w:color="auto"/>
                <w:right w:val="none" w:sz="0" w:space="0" w:color="auto"/>
              </w:divBdr>
            </w:div>
          </w:divsChild>
        </w:div>
        <w:div w:id="1335569324">
          <w:marLeft w:val="0"/>
          <w:marRight w:val="0"/>
          <w:marTop w:val="0"/>
          <w:marBottom w:val="0"/>
          <w:divBdr>
            <w:top w:val="none" w:sz="0" w:space="0" w:color="auto"/>
            <w:left w:val="none" w:sz="0" w:space="0" w:color="auto"/>
            <w:bottom w:val="none" w:sz="0" w:space="0" w:color="auto"/>
            <w:right w:val="none" w:sz="0" w:space="0" w:color="auto"/>
          </w:divBdr>
          <w:divsChild>
            <w:div w:id="324208716">
              <w:marLeft w:val="0"/>
              <w:marRight w:val="0"/>
              <w:marTop w:val="0"/>
              <w:marBottom w:val="0"/>
              <w:divBdr>
                <w:top w:val="none" w:sz="0" w:space="0" w:color="auto"/>
                <w:left w:val="none" w:sz="0" w:space="0" w:color="auto"/>
                <w:bottom w:val="none" w:sz="0" w:space="0" w:color="auto"/>
                <w:right w:val="none" w:sz="0" w:space="0" w:color="auto"/>
              </w:divBdr>
            </w:div>
          </w:divsChild>
        </w:div>
        <w:div w:id="1337657787">
          <w:marLeft w:val="0"/>
          <w:marRight w:val="0"/>
          <w:marTop w:val="0"/>
          <w:marBottom w:val="0"/>
          <w:divBdr>
            <w:top w:val="none" w:sz="0" w:space="0" w:color="auto"/>
            <w:left w:val="none" w:sz="0" w:space="0" w:color="auto"/>
            <w:bottom w:val="none" w:sz="0" w:space="0" w:color="auto"/>
            <w:right w:val="none" w:sz="0" w:space="0" w:color="auto"/>
          </w:divBdr>
          <w:divsChild>
            <w:div w:id="1404527028">
              <w:marLeft w:val="0"/>
              <w:marRight w:val="0"/>
              <w:marTop w:val="0"/>
              <w:marBottom w:val="0"/>
              <w:divBdr>
                <w:top w:val="none" w:sz="0" w:space="0" w:color="auto"/>
                <w:left w:val="none" w:sz="0" w:space="0" w:color="auto"/>
                <w:bottom w:val="none" w:sz="0" w:space="0" w:color="auto"/>
                <w:right w:val="none" w:sz="0" w:space="0" w:color="auto"/>
              </w:divBdr>
            </w:div>
          </w:divsChild>
        </w:div>
        <w:div w:id="1371372645">
          <w:marLeft w:val="0"/>
          <w:marRight w:val="0"/>
          <w:marTop w:val="0"/>
          <w:marBottom w:val="0"/>
          <w:divBdr>
            <w:top w:val="none" w:sz="0" w:space="0" w:color="auto"/>
            <w:left w:val="none" w:sz="0" w:space="0" w:color="auto"/>
            <w:bottom w:val="none" w:sz="0" w:space="0" w:color="auto"/>
            <w:right w:val="none" w:sz="0" w:space="0" w:color="auto"/>
          </w:divBdr>
          <w:divsChild>
            <w:div w:id="2007705351">
              <w:marLeft w:val="0"/>
              <w:marRight w:val="0"/>
              <w:marTop w:val="0"/>
              <w:marBottom w:val="0"/>
              <w:divBdr>
                <w:top w:val="none" w:sz="0" w:space="0" w:color="auto"/>
                <w:left w:val="none" w:sz="0" w:space="0" w:color="auto"/>
                <w:bottom w:val="none" w:sz="0" w:space="0" w:color="auto"/>
                <w:right w:val="none" w:sz="0" w:space="0" w:color="auto"/>
              </w:divBdr>
            </w:div>
          </w:divsChild>
        </w:div>
        <w:div w:id="1376394972">
          <w:marLeft w:val="0"/>
          <w:marRight w:val="0"/>
          <w:marTop w:val="0"/>
          <w:marBottom w:val="0"/>
          <w:divBdr>
            <w:top w:val="none" w:sz="0" w:space="0" w:color="auto"/>
            <w:left w:val="none" w:sz="0" w:space="0" w:color="auto"/>
            <w:bottom w:val="none" w:sz="0" w:space="0" w:color="auto"/>
            <w:right w:val="none" w:sz="0" w:space="0" w:color="auto"/>
          </w:divBdr>
          <w:divsChild>
            <w:div w:id="445781142">
              <w:marLeft w:val="0"/>
              <w:marRight w:val="0"/>
              <w:marTop w:val="0"/>
              <w:marBottom w:val="0"/>
              <w:divBdr>
                <w:top w:val="none" w:sz="0" w:space="0" w:color="auto"/>
                <w:left w:val="none" w:sz="0" w:space="0" w:color="auto"/>
                <w:bottom w:val="none" w:sz="0" w:space="0" w:color="auto"/>
                <w:right w:val="none" w:sz="0" w:space="0" w:color="auto"/>
              </w:divBdr>
            </w:div>
          </w:divsChild>
        </w:div>
        <w:div w:id="1388411848">
          <w:marLeft w:val="0"/>
          <w:marRight w:val="0"/>
          <w:marTop w:val="0"/>
          <w:marBottom w:val="0"/>
          <w:divBdr>
            <w:top w:val="none" w:sz="0" w:space="0" w:color="auto"/>
            <w:left w:val="none" w:sz="0" w:space="0" w:color="auto"/>
            <w:bottom w:val="none" w:sz="0" w:space="0" w:color="auto"/>
            <w:right w:val="none" w:sz="0" w:space="0" w:color="auto"/>
          </w:divBdr>
          <w:divsChild>
            <w:div w:id="1213732020">
              <w:marLeft w:val="0"/>
              <w:marRight w:val="0"/>
              <w:marTop w:val="0"/>
              <w:marBottom w:val="0"/>
              <w:divBdr>
                <w:top w:val="none" w:sz="0" w:space="0" w:color="auto"/>
                <w:left w:val="none" w:sz="0" w:space="0" w:color="auto"/>
                <w:bottom w:val="none" w:sz="0" w:space="0" w:color="auto"/>
                <w:right w:val="none" w:sz="0" w:space="0" w:color="auto"/>
              </w:divBdr>
            </w:div>
          </w:divsChild>
        </w:div>
        <w:div w:id="1408724661">
          <w:marLeft w:val="0"/>
          <w:marRight w:val="0"/>
          <w:marTop w:val="0"/>
          <w:marBottom w:val="0"/>
          <w:divBdr>
            <w:top w:val="none" w:sz="0" w:space="0" w:color="auto"/>
            <w:left w:val="none" w:sz="0" w:space="0" w:color="auto"/>
            <w:bottom w:val="none" w:sz="0" w:space="0" w:color="auto"/>
            <w:right w:val="none" w:sz="0" w:space="0" w:color="auto"/>
          </w:divBdr>
          <w:divsChild>
            <w:div w:id="58478560">
              <w:marLeft w:val="0"/>
              <w:marRight w:val="0"/>
              <w:marTop w:val="0"/>
              <w:marBottom w:val="0"/>
              <w:divBdr>
                <w:top w:val="none" w:sz="0" w:space="0" w:color="auto"/>
                <w:left w:val="none" w:sz="0" w:space="0" w:color="auto"/>
                <w:bottom w:val="none" w:sz="0" w:space="0" w:color="auto"/>
                <w:right w:val="none" w:sz="0" w:space="0" w:color="auto"/>
              </w:divBdr>
            </w:div>
          </w:divsChild>
        </w:div>
        <w:div w:id="1412462427">
          <w:marLeft w:val="0"/>
          <w:marRight w:val="0"/>
          <w:marTop w:val="0"/>
          <w:marBottom w:val="0"/>
          <w:divBdr>
            <w:top w:val="none" w:sz="0" w:space="0" w:color="auto"/>
            <w:left w:val="none" w:sz="0" w:space="0" w:color="auto"/>
            <w:bottom w:val="none" w:sz="0" w:space="0" w:color="auto"/>
            <w:right w:val="none" w:sz="0" w:space="0" w:color="auto"/>
          </w:divBdr>
          <w:divsChild>
            <w:div w:id="2072918673">
              <w:marLeft w:val="0"/>
              <w:marRight w:val="0"/>
              <w:marTop w:val="0"/>
              <w:marBottom w:val="0"/>
              <w:divBdr>
                <w:top w:val="none" w:sz="0" w:space="0" w:color="auto"/>
                <w:left w:val="none" w:sz="0" w:space="0" w:color="auto"/>
                <w:bottom w:val="none" w:sz="0" w:space="0" w:color="auto"/>
                <w:right w:val="none" w:sz="0" w:space="0" w:color="auto"/>
              </w:divBdr>
            </w:div>
          </w:divsChild>
        </w:div>
        <w:div w:id="1424644242">
          <w:marLeft w:val="0"/>
          <w:marRight w:val="0"/>
          <w:marTop w:val="0"/>
          <w:marBottom w:val="0"/>
          <w:divBdr>
            <w:top w:val="none" w:sz="0" w:space="0" w:color="auto"/>
            <w:left w:val="none" w:sz="0" w:space="0" w:color="auto"/>
            <w:bottom w:val="none" w:sz="0" w:space="0" w:color="auto"/>
            <w:right w:val="none" w:sz="0" w:space="0" w:color="auto"/>
          </w:divBdr>
          <w:divsChild>
            <w:div w:id="851798112">
              <w:marLeft w:val="0"/>
              <w:marRight w:val="0"/>
              <w:marTop w:val="0"/>
              <w:marBottom w:val="0"/>
              <w:divBdr>
                <w:top w:val="none" w:sz="0" w:space="0" w:color="auto"/>
                <w:left w:val="none" w:sz="0" w:space="0" w:color="auto"/>
                <w:bottom w:val="none" w:sz="0" w:space="0" w:color="auto"/>
                <w:right w:val="none" w:sz="0" w:space="0" w:color="auto"/>
              </w:divBdr>
            </w:div>
          </w:divsChild>
        </w:div>
        <w:div w:id="1435369490">
          <w:marLeft w:val="0"/>
          <w:marRight w:val="0"/>
          <w:marTop w:val="0"/>
          <w:marBottom w:val="0"/>
          <w:divBdr>
            <w:top w:val="none" w:sz="0" w:space="0" w:color="auto"/>
            <w:left w:val="none" w:sz="0" w:space="0" w:color="auto"/>
            <w:bottom w:val="none" w:sz="0" w:space="0" w:color="auto"/>
            <w:right w:val="none" w:sz="0" w:space="0" w:color="auto"/>
          </w:divBdr>
          <w:divsChild>
            <w:div w:id="2005546123">
              <w:marLeft w:val="0"/>
              <w:marRight w:val="0"/>
              <w:marTop w:val="0"/>
              <w:marBottom w:val="0"/>
              <w:divBdr>
                <w:top w:val="none" w:sz="0" w:space="0" w:color="auto"/>
                <w:left w:val="none" w:sz="0" w:space="0" w:color="auto"/>
                <w:bottom w:val="none" w:sz="0" w:space="0" w:color="auto"/>
                <w:right w:val="none" w:sz="0" w:space="0" w:color="auto"/>
              </w:divBdr>
            </w:div>
          </w:divsChild>
        </w:div>
        <w:div w:id="1463814006">
          <w:marLeft w:val="0"/>
          <w:marRight w:val="0"/>
          <w:marTop w:val="0"/>
          <w:marBottom w:val="0"/>
          <w:divBdr>
            <w:top w:val="none" w:sz="0" w:space="0" w:color="auto"/>
            <w:left w:val="none" w:sz="0" w:space="0" w:color="auto"/>
            <w:bottom w:val="none" w:sz="0" w:space="0" w:color="auto"/>
            <w:right w:val="none" w:sz="0" w:space="0" w:color="auto"/>
          </w:divBdr>
          <w:divsChild>
            <w:div w:id="1116831098">
              <w:marLeft w:val="0"/>
              <w:marRight w:val="0"/>
              <w:marTop w:val="0"/>
              <w:marBottom w:val="0"/>
              <w:divBdr>
                <w:top w:val="none" w:sz="0" w:space="0" w:color="auto"/>
                <w:left w:val="none" w:sz="0" w:space="0" w:color="auto"/>
                <w:bottom w:val="none" w:sz="0" w:space="0" w:color="auto"/>
                <w:right w:val="none" w:sz="0" w:space="0" w:color="auto"/>
              </w:divBdr>
            </w:div>
          </w:divsChild>
        </w:div>
        <w:div w:id="1463961420">
          <w:marLeft w:val="0"/>
          <w:marRight w:val="0"/>
          <w:marTop w:val="0"/>
          <w:marBottom w:val="0"/>
          <w:divBdr>
            <w:top w:val="none" w:sz="0" w:space="0" w:color="auto"/>
            <w:left w:val="none" w:sz="0" w:space="0" w:color="auto"/>
            <w:bottom w:val="none" w:sz="0" w:space="0" w:color="auto"/>
            <w:right w:val="none" w:sz="0" w:space="0" w:color="auto"/>
          </w:divBdr>
          <w:divsChild>
            <w:div w:id="572157301">
              <w:marLeft w:val="0"/>
              <w:marRight w:val="0"/>
              <w:marTop w:val="0"/>
              <w:marBottom w:val="0"/>
              <w:divBdr>
                <w:top w:val="none" w:sz="0" w:space="0" w:color="auto"/>
                <w:left w:val="none" w:sz="0" w:space="0" w:color="auto"/>
                <w:bottom w:val="none" w:sz="0" w:space="0" w:color="auto"/>
                <w:right w:val="none" w:sz="0" w:space="0" w:color="auto"/>
              </w:divBdr>
            </w:div>
          </w:divsChild>
        </w:div>
        <w:div w:id="1507163402">
          <w:marLeft w:val="0"/>
          <w:marRight w:val="0"/>
          <w:marTop w:val="0"/>
          <w:marBottom w:val="0"/>
          <w:divBdr>
            <w:top w:val="none" w:sz="0" w:space="0" w:color="auto"/>
            <w:left w:val="none" w:sz="0" w:space="0" w:color="auto"/>
            <w:bottom w:val="none" w:sz="0" w:space="0" w:color="auto"/>
            <w:right w:val="none" w:sz="0" w:space="0" w:color="auto"/>
          </w:divBdr>
          <w:divsChild>
            <w:div w:id="582495227">
              <w:marLeft w:val="0"/>
              <w:marRight w:val="0"/>
              <w:marTop w:val="0"/>
              <w:marBottom w:val="0"/>
              <w:divBdr>
                <w:top w:val="none" w:sz="0" w:space="0" w:color="auto"/>
                <w:left w:val="none" w:sz="0" w:space="0" w:color="auto"/>
                <w:bottom w:val="none" w:sz="0" w:space="0" w:color="auto"/>
                <w:right w:val="none" w:sz="0" w:space="0" w:color="auto"/>
              </w:divBdr>
            </w:div>
          </w:divsChild>
        </w:div>
        <w:div w:id="1513909269">
          <w:marLeft w:val="0"/>
          <w:marRight w:val="0"/>
          <w:marTop w:val="0"/>
          <w:marBottom w:val="0"/>
          <w:divBdr>
            <w:top w:val="none" w:sz="0" w:space="0" w:color="auto"/>
            <w:left w:val="none" w:sz="0" w:space="0" w:color="auto"/>
            <w:bottom w:val="none" w:sz="0" w:space="0" w:color="auto"/>
            <w:right w:val="none" w:sz="0" w:space="0" w:color="auto"/>
          </w:divBdr>
          <w:divsChild>
            <w:div w:id="1163862875">
              <w:marLeft w:val="0"/>
              <w:marRight w:val="0"/>
              <w:marTop w:val="0"/>
              <w:marBottom w:val="0"/>
              <w:divBdr>
                <w:top w:val="none" w:sz="0" w:space="0" w:color="auto"/>
                <w:left w:val="none" w:sz="0" w:space="0" w:color="auto"/>
                <w:bottom w:val="none" w:sz="0" w:space="0" w:color="auto"/>
                <w:right w:val="none" w:sz="0" w:space="0" w:color="auto"/>
              </w:divBdr>
            </w:div>
          </w:divsChild>
        </w:div>
        <w:div w:id="1524784860">
          <w:marLeft w:val="0"/>
          <w:marRight w:val="0"/>
          <w:marTop w:val="0"/>
          <w:marBottom w:val="0"/>
          <w:divBdr>
            <w:top w:val="none" w:sz="0" w:space="0" w:color="auto"/>
            <w:left w:val="none" w:sz="0" w:space="0" w:color="auto"/>
            <w:bottom w:val="none" w:sz="0" w:space="0" w:color="auto"/>
            <w:right w:val="none" w:sz="0" w:space="0" w:color="auto"/>
          </w:divBdr>
          <w:divsChild>
            <w:div w:id="33585103">
              <w:marLeft w:val="0"/>
              <w:marRight w:val="0"/>
              <w:marTop w:val="0"/>
              <w:marBottom w:val="0"/>
              <w:divBdr>
                <w:top w:val="none" w:sz="0" w:space="0" w:color="auto"/>
                <w:left w:val="none" w:sz="0" w:space="0" w:color="auto"/>
                <w:bottom w:val="none" w:sz="0" w:space="0" w:color="auto"/>
                <w:right w:val="none" w:sz="0" w:space="0" w:color="auto"/>
              </w:divBdr>
            </w:div>
          </w:divsChild>
        </w:div>
        <w:div w:id="1531189456">
          <w:marLeft w:val="0"/>
          <w:marRight w:val="0"/>
          <w:marTop w:val="0"/>
          <w:marBottom w:val="0"/>
          <w:divBdr>
            <w:top w:val="none" w:sz="0" w:space="0" w:color="auto"/>
            <w:left w:val="none" w:sz="0" w:space="0" w:color="auto"/>
            <w:bottom w:val="none" w:sz="0" w:space="0" w:color="auto"/>
            <w:right w:val="none" w:sz="0" w:space="0" w:color="auto"/>
          </w:divBdr>
          <w:divsChild>
            <w:div w:id="1465612389">
              <w:marLeft w:val="0"/>
              <w:marRight w:val="0"/>
              <w:marTop w:val="0"/>
              <w:marBottom w:val="0"/>
              <w:divBdr>
                <w:top w:val="none" w:sz="0" w:space="0" w:color="auto"/>
                <w:left w:val="none" w:sz="0" w:space="0" w:color="auto"/>
                <w:bottom w:val="none" w:sz="0" w:space="0" w:color="auto"/>
                <w:right w:val="none" w:sz="0" w:space="0" w:color="auto"/>
              </w:divBdr>
            </w:div>
          </w:divsChild>
        </w:div>
        <w:div w:id="1534685398">
          <w:marLeft w:val="0"/>
          <w:marRight w:val="0"/>
          <w:marTop w:val="0"/>
          <w:marBottom w:val="0"/>
          <w:divBdr>
            <w:top w:val="none" w:sz="0" w:space="0" w:color="auto"/>
            <w:left w:val="none" w:sz="0" w:space="0" w:color="auto"/>
            <w:bottom w:val="none" w:sz="0" w:space="0" w:color="auto"/>
            <w:right w:val="none" w:sz="0" w:space="0" w:color="auto"/>
          </w:divBdr>
          <w:divsChild>
            <w:div w:id="750589472">
              <w:marLeft w:val="0"/>
              <w:marRight w:val="0"/>
              <w:marTop w:val="0"/>
              <w:marBottom w:val="0"/>
              <w:divBdr>
                <w:top w:val="none" w:sz="0" w:space="0" w:color="auto"/>
                <w:left w:val="none" w:sz="0" w:space="0" w:color="auto"/>
                <w:bottom w:val="none" w:sz="0" w:space="0" w:color="auto"/>
                <w:right w:val="none" w:sz="0" w:space="0" w:color="auto"/>
              </w:divBdr>
            </w:div>
          </w:divsChild>
        </w:div>
        <w:div w:id="1534919170">
          <w:marLeft w:val="0"/>
          <w:marRight w:val="0"/>
          <w:marTop w:val="0"/>
          <w:marBottom w:val="0"/>
          <w:divBdr>
            <w:top w:val="none" w:sz="0" w:space="0" w:color="auto"/>
            <w:left w:val="none" w:sz="0" w:space="0" w:color="auto"/>
            <w:bottom w:val="none" w:sz="0" w:space="0" w:color="auto"/>
            <w:right w:val="none" w:sz="0" w:space="0" w:color="auto"/>
          </w:divBdr>
          <w:divsChild>
            <w:div w:id="1310481260">
              <w:marLeft w:val="0"/>
              <w:marRight w:val="0"/>
              <w:marTop w:val="0"/>
              <w:marBottom w:val="0"/>
              <w:divBdr>
                <w:top w:val="none" w:sz="0" w:space="0" w:color="auto"/>
                <w:left w:val="none" w:sz="0" w:space="0" w:color="auto"/>
                <w:bottom w:val="none" w:sz="0" w:space="0" w:color="auto"/>
                <w:right w:val="none" w:sz="0" w:space="0" w:color="auto"/>
              </w:divBdr>
            </w:div>
          </w:divsChild>
        </w:div>
        <w:div w:id="1538618125">
          <w:marLeft w:val="0"/>
          <w:marRight w:val="0"/>
          <w:marTop w:val="0"/>
          <w:marBottom w:val="0"/>
          <w:divBdr>
            <w:top w:val="none" w:sz="0" w:space="0" w:color="auto"/>
            <w:left w:val="none" w:sz="0" w:space="0" w:color="auto"/>
            <w:bottom w:val="none" w:sz="0" w:space="0" w:color="auto"/>
            <w:right w:val="none" w:sz="0" w:space="0" w:color="auto"/>
          </w:divBdr>
          <w:divsChild>
            <w:div w:id="1297300123">
              <w:marLeft w:val="0"/>
              <w:marRight w:val="0"/>
              <w:marTop w:val="0"/>
              <w:marBottom w:val="0"/>
              <w:divBdr>
                <w:top w:val="none" w:sz="0" w:space="0" w:color="auto"/>
                <w:left w:val="none" w:sz="0" w:space="0" w:color="auto"/>
                <w:bottom w:val="none" w:sz="0" w:space="0" w:color="auto"/>
                <w:right w:val="none" w:sz="0" w:space="0" w:color="auto"/>
              </w:divBdr>
            </w:div>
          </w:divsChild>
        </w:div>
        <w:div w:id="1564026339">
          <w:marLeft w:val="0"/>
          <w:marRight w:val="0"/>
          <w:marTop w:val="0"/>
          <w:marBottom w:val="0"/>
          <w:divBdr>
            <w:top w:val="none" w:sz="0" w:space="0" w:color="auto"/>
            <w:left w:val="none" w:sz="0" w:space="0" w:color="auto"/>
            <w:bottom w:val="none" w:sz="0" w:space="0" w:color="auto"/>
            <w:right w:val="none" w:sz="0" w:space="0" w:color="auto"/>
          </w:divBdr>
          <w:divsChild>
            <w:div w:id="258027459">
              <w:marLeft w:val="0"/>
              <w:marRight w:val="0"/>
              <w:marTop w:val="0"/>
              <w:marBottom w:val="0"/>
              <w:divBdr>
                <w:top w:val="none" w:sz="0" w:space="0" w:color="auto"/>
                <w:left w:val="none" w:sz="0" w:space="0" w:color="auto"/>
                <w:bottom w:val="none" w:sz="0" w:space="0" w:color="auto"/>
                <w:right w:val="none" w:sz="0" w:space="0" w:color="auto"/>
              </w:divBdr>
            </w:div>
          </w:divsChild>
        </w:div>
        <w:div w:id="1565487223">
          <w:marLeft w:val="0"/>
          <w:marRight w:val="0"/>
          <w:marTop w:val="0"/>
          <w:marBottom w:val="0"/>
          <w:divBdr>
            <w:top w:val="none" w:sz="0" w:space="0" w:color="auto"/>
            <w:left w:val="none" w:sz="0" w:space="0" w:color="auto"/>
            <w:bottom w:val="none" w:sz="0" w:space="0" w:color="auto"/>
            <w:right w:val="none" w:sz="0" w:space="0" w:color="auto"/>
          </w:divBdr>
          <w:divsChild>
            <w:div w:id="110714552">
              <w:marLeft w:val="0"/>
              <w:marRight w:val="0"/>
              <w:marTop w:val="0"/>
              <w:marBottom w:val="0"/>
              <w:divBdr>
                <w:top w:val="none" w:sz="0" w:space="0" w:color="auto"/>
                <w:left w:val="none" w:sz="0" w:space="0" w:color="auto"/>
                <w:bottom w:val="none" w:sz="0" w:space="0" w:color="auto"/>
                <w:right w:val="none" w:sz="0" w:space="0" w:color="auto"/>
              </w:divBdr>
            </w:div>
          </w:divsChild>
        </w:div>
        <w:div w:id="1568103775">
          <w:marLeft w:val="0"/>
          <w:marRight w:val="0"/>
          <w:marTop w:val="0"/>
          <w:marBottom w:val="0"/>
          <w:divBdr>
            <w:top w:val="none" w:sz="0" w:space="0" w:color="auto"/>
            <w:left w:val="none" w:sz="0" w:space="0" w:color="auto"/>
            <w:bottom w:val="none" w:sz="0" w:space="0" w:color="auto"/>
            <w:right w:val="none" w:sz="0" w:space="0" w:color="auto"/>
          </w:divBdr>
          <w:divsChild>
            <w:div w:id="1123422518">
              <w:marLeft w:val="0"/>
              <w:marRight w:val="0"/>
              <w:marTop w:val="0"/>
              <w:marBottom w:val="0"/>
              <w:divBdr>
                <w:top w:val="none" w:sz="0" w:space="0" w:color="auto"/>
                <w:left w:val="none" w:sz="0" w:space="0" w:color="auto"/>
                <w:bottom w:val="none" w:sz="0" w:space="0" w:color="auto"/>
                <w:right w:val="none" w:sz="0" w:space="0" w:color="auto"/>
              </w:divBdr>
            </w:div>
          </w:divsChild>
        </w:div>
        <w:div w:id="1605725516">
          <w:marLeft w:val="0"/>
          <w:marRight w:val="0"/>
          <w:marTop w:val="0"/>
          <w:marBottom w:val="0"/>
          <w:divBdr>
            <w:top w:val="none" w:sz="0" w:space="0" w:color="auto"/>
            <w:left w:val="none" w:sz="0" w:space="0" w:color="auto"/>
            <w:bottom w:val="none" w:sz="0" w:space="0" w:color="auto"/>
            <w:right w:val="none" w:sz="0" w:space="0" w:color="auto"/>
          </w:divBdr>
          <w:divsChild>
            <w:div w:id="675808235">
              <w:marLeft w:val="0"/>
              <w:marRight w:val="0"/>
              <w:marTop w:val="0"/>
              <w:marBottom w:val="0"/>
              <w:divBdr>
                <w:top w:val="none" w:sz="0" w:space="0" w:color="auto"/>
                <w:left w:val="none" w:sz="0" w:space="0" w:color="auto"/>
                <w:bottom w:val="none" w:sz="0" w:space="0" w:color="auto"/>
                <w:right w:val="none" w:sz="0" w:space="0" w:color="auto"/>
              </w:divBdr>
            </w:div>
          </w:divsChild>
        </w:div>
        <w:div w:id="1638073321">
          <w:marLeft w:val="0"/>
          <w:marRight w:val="0"/>
          <w:marTop w:val="0"/>
          <w:marBottom w:val="0"/>
          <w:divBdr>
            <w:top w:val="none" w:sz="0" w:space="0" w:color="auto"/>
            <w:left w:val="none" w:sz="0" w:space="0" w:color="auto"/>
            <w:bottom w:val="none" w:sz="0" w:space="0" w:color="auto"/>
            <w:right w:val="none" w:sz="0" w:space="0" w:color="auto"/>
          </w:divBdr>
          <w:divsChild>
            <w:div w:id="1655330751">
              <w:marLeft w:val="0"/>
              <w:marRight w:val="0"/>
              <w:marTop w:val="0"/>
              <w:marBottom w:val="0"/>
              <w:divBdr>
                <w:top w:val="none" w:sz="0" w:space="0" w:color="auto"/>
                <w:left w:val="none" w:sz="0" w:space="0" w:color="auto"/>
                <w:bottom w:val="none" w:sz="0" w:space="0" w:color="auto"/>
                <w:right w:val="none" w:sz="0" w:space="0" w:color="auto"/>
              </w:divBdr>
            </w:div>
          </w:divsChild>
        </w:div>
        <w:div w:id="1638950401">
          <w:marLeft w:val="0"/>
          <w:marRight w:val="0"/>
          <w:marTop w:val="0"/>
          <w:marBottom w:val="0"/>
          <w:divBdr>
            <w:top w:val="none" w:sz="0" w:space="0" w:color="auto"/>
            <w:left w:val="none" w:sz="0" w:space="0" w:color="auto"/>
            <w:bottom w:val="none" w:sz="0" w:space="0" w:color="auto"/>
            <w:right w:val="none" w:sz="0" w:space="0" w:color="auto"/>
          </w:divBdr>
          <w:divsChild>
            <w:div w:id="1018199104">
              <w:marLeft w:val="0"/>
              <w:marRight w:val="0"/>
              <w:marTop w:val="0"/>
              <w:marBottom w:val="0"/>
              <w:divBdr>
                <w:top w:val="none" w:sz="0" w:space="0" w:color="auto"/>
                <w:left w:val="none" w:sz="0" w:space="0" w:color="auto"/>
                <w:bottom w:val="none" w:sz="0" w:space="0" w:color="auto"/>
                <w:right w:val="none" w:sz="0" w:space="0" w:color="auto"/>
              </w:divBdr>
            </w:div>
          </w:divsChild>
        </w:div>
        <w:div w:id="1681614509">
          <w:marLeft w:val="0"/>
          <w:marRight w:val="0"/>
          <w:marTop w:val="0"/>
          <w:marBottom w:val="0"/>
          <w:divBdr>
            <w:top w:val="none" w:sz="0" w:space="0" w:color="auto"/>
            <w:left w:val="none" w:sz="0" w:space="0" w:color="auto"/>
            <w:bottom w:val="none" w:sz="0" w:space="0" w:color="auto"/>
            <w:right w:val="none" w:sz="0" w:space="0" w:color="auto"/>
          </w:divBdr>
          <w:divsChild>
            <w:div w:id="1082410301">
              <w:marLeft w:val="0"/>
              <w:marRight w:val="0"/>
              <w:marTop w:val="0"/>
              <w:marBottom w:val="0"/>
              <w:divBdr>
                <w:top w:val="none" w:sz="0" w:space="0" w:color="auto"/>
                <w:left w:val="none" w:sz="0" w:space="0" w:color="auto"/>
                <w:bottom w:val="none" w:sz="0" w:space="0" w:color="auto"/>
                <w:right w:val="none" w:sz="0" w:space="0" w:color="auto"/>
              </w:divBdr>
            </w:div>
          </w:divsChild>
        </w:div>
        <w:div w:id="1696149902">
          <w:marLeft w:val="0"/>
          <w:marRight w:val="0"/>
          <w:marTop w:val="0"/>
          <w:marBottom w:val="0"/>
          <w:divBdr>
            <w:top w:val="none" w:sz="0" w:space="0" w:color="auto"/>
            <w:left w:val="none" w:sz="0" w:space="0" w:color="auto"/>
            <w:bottom w:val="none" w:sz="0" w:space="0" w:color="auto"/>
            <w:right w:val="none" w:sz="0" w:space="0" w:color="auto"/>
          </w:divBdr>
          <w:divsChild>
            <w:div w:id="1373725916">
              <w:marLeft w:val="0"/>
              <w:marRight w:val="0"/>
              <w:marTop w:val="0"/>
              <w:marBottom w:val="0"/>
              <w:divBdr>
                <w:top w:val="none" w:sz="0" w:space="0" w:color="auto"/>
                <w:left w:val="none" w:sz="0" w:space="0" w:color="auto"/>
                <w:bottom w:val="none" w:sz="0" w:space="0" w:color="auto"/>
                <w:right w:val="none" w:sz="0" w:space="0" w:color="auto"/>
              </w:divBdr>
            </w:div>
          </w:divsChild>
        </w:div>
        <w:div w:id="1697925959">
          <w:marLeft w:val="0"/>
          <w:marRight w:val="0"/>
          <w:marTop w:val="0"/>
          <w:marBottom w:val="0"/>
          <w:divBdr>
            <w:top w:val="none" w:sz="0" w:space="0" w:color="auto"/>
            <w:left w:val="none" w:sz="0" w:space="0" w:color="auto"/>
            <w:bottom w:val="none" w:sz="0" w:space="0" w:color="auto"/>
            <w:right w:val="none" w:sz="0" w:space="0" w:color="auto"/>
          </w:divBdr>
          <w:divsChild>
            <w:div w:id="890001080">
              <w:marLeft w:val="0"/>
              <w:marRight w:val="0"/>
              <w:marTop w:val="0"/>
              <w:marBottom w:val="0"/>
              <w:divBdr>
                <w:top w:val="none" w:sz="0" w:space="0" w:color="auto"/>
                <w:left w:val="none" w:sz="0" w:space="0" w:color="auto"/>
                <w:bottom w:val="none" w:sz="0" w:space="0" w:color="auto"/>
                <w:right w:val="none" w:sz="0" w:space="0" w:color="auto"/>
              </w:divBdr>
            </w:div>
          </w:divsChild>
        </w:div>
        <w:div w:id="1720469638">
          <w:marLeft w:val="0"/>
          <w:marRight w:val="0"/>
          <w:marTop w:val="0"/>
          <w:marBottom w:val="0"/>
          <w:divBdr>
            <w:top w:val="none" w:sz="0" w:space="0" w:color="auto"/>
            <w:left w:val="none" w:sz="0" w:space="0" w:color="auto"/>
            <w:bottom w:val="none" w:sz="0" w:space="0" w:color="auto"/>
            <w:right w:val="none" w:sz="0" w:space="0" w:color="auto"/>
          </w:divBdr>
          <w:divsChild>
            <w:div w:id="2115441244">
              <w:marLeft w:val="0"/>
              <w:marRight w:val="0"/>
              <w:marTop w:val="0"/>
              <w:marBottom w:val="0"/>
              <w:divBdr>
                <w:top w:val="none" w:sz="0" w:space="0" w:color="auto"/>
                <w:left w:val="none" w:sz="0" w:space="0" w:color="auto"/>
                <w:bottom w:val="none" w:sz="0" w:space="0" w:color="auto"/>
                <w:right w:val="none" w:sz="0" w:space="0" w:color="auto"/>
              </w:divBdr>
            </w:div>
          </w:divsChild>
        </w:div>
        <w:div w:id="1764448756">
          <w:marLeft w:val="0"/>
          <w:marRight w:val="0"/>
          <w:marTop w:val="0"/>
          <w:marBottom w:val="0"/>
          <w:divBdr>
            <w:top w:val="none" w:sz="0" w:space="0" w:color="auto"/>
            <w:left w:val="none" w:sz="0" w:space="0" w:color="auto"/>
            <w:bottom w:val="none" w:sz="0" w:space="0" w:color="auto"/>
            <w:right w:val="none" w:sz="0" w:space="0" w:color="auto"/>
          </w:divBdr>
          <w:divsChild>
            <w:div w:id="1167288253">
              <w:marLeft w:val="0"/>
              <w:marRight w:val="0"/>
              <w:marTop w:val="0"/>
              <w:marBottom w:val="0"/>
              <w:divBdr>
                <w:top w:val="none" w:sz="0" w:space="0" w:color="auto"/>
                <w:left w:val="none" w:sz="0" w:space="0" w:color="auto"/>
                <w:bottom w:val="none" w:sz="0" w:space="0" w:color="auto"/>
                <w:right w:val="none" w:sz="0" w:space="0" w:color="auto"/>
              </w:divBdr>
            </w:div>
          </w:divsChild>
        </w:div>
        <w:div w:id="1767846511">
          <w:marLeft w:val="0"/>
          <w:marRight w:val="0"/>
          <w:marTop w:val="0"/>
          <w:marBottom w:val="0"/>
          <w:divBdr>
            <w:top w:val="none" w:sz="0" w:space="0" w:color="auto"/>
            <w:left w:val="none" w:sz="0" w:space="0" w:color="auto"/>
            <w:bottom w:val="none" w:sz="0" w:space="0" w:color="auto"/>
            <w:right w:val="none" w:sz="0" w:space="0" w:color="auto"/>
          </w:divBdr>
          <w:divsChild>
            <w:div w:id="247423973">
              <w:marLeft w:val="0"/>
              <w:marRight w:val="0"/>
              <w:marTop w:val="0"/>
              <w:marBottom w:val="0"/>
              <w:divBdr>
                <w:top w:val="none" w:sz="0" w:space="0" w:color="auto"/>
                <w:left w:val="none" w:sz="0" w:space="0" w:color="auto"/>
                <w:bottom w:val="none" w:sz="0" w:space="0" w:color="auto"/>
                <w:right w:val="none" w:sz="0" w:space="0" w:color="auto"/>
              </w:divBdr>
            </w:div>
          </w:divsChild>
        </w:div>
        <w:div w:id="1787852555">
          <w:marLeft w:val="0"/>
          <w:marRight w:val="0"/>
          <w:marTop w:val="0"/>
          <w:marBottom w:val="0"/>
          <w:divBdr>
            <w:top w:val="none" w:sz="0" w:space="0" w:color="auto"/>
            <w:left w:val="none" w:sz="0" w:space="0" w:color="auto"/>
            <w:bottom w:val="none" w:sz="0" w:space="0" w:color="auto"/>
            <w:right w:val="none" w:sz="0" w:space="0" w:color="auto"/>
          </w:divBdr>
          <w:divsChild>
            <w:div w:id="1333143677">
              <w:marLeft w:val="0"/>
              <w:marRight w:val="0"/>
              <w:marTop w:val="0"/>
              <w:marBottom w:val="0"/>
              <w:divBdr>
                <w:top w:val="none" w:sz="0" w:space="0" w:color="auto"/>
                <w:left w:val="none" w:sz="0" w:space="0" w:color="auto"/>
                <w:bottom w:val="none" w:sz="0" w:space="0" w:color="auto"/>
                <w:right w:val="none" w:sz="0" w:space="0" w:color="auto"/>
              </w:divBdr>
            </w:div>
          </w:divsChild>
        </w:div>
        <w:div w:id="1835873683">
          <w:marLeft w:val="0"/>
          <w:marRight w:val="0"/>
          <w:marTop w:val="0"/>
          <w:marBottom w:val="0"/>
          <w:divBdr>
            <w:top w:val="none" w:sz="0" w:space="0" w:color="auto"/>
            <w:left w:val="none" w:sz="0" w:space="0" w:color="auto"/>
            <w:bottom w:val="none" w:sz="0" w:space="0" w:color="auto"/>
            <w:right w:val="none" w:sz="0" w:space="0" w:color="auto"/>
          </w:divBdr>
          <w:divsChild>
            <w:div w:id="1895192882">
              <w:marLeft w:val="0"/>
              <w:marRight w:val="0"/>
              <w:marTop w:val="0"/>
              <w:marBottom w:val="0"/>
              <w:divBdr>
                <w:top w:val="none" w:sz="0" w:space="0" w:color="auto"/>
                <w:left w:val="none" w:sz="0" w:space="0" w:color="auto"/>
                <w:bottom w:val="none" w:sz="0" w:space="0" w:color="auto"/>
                <w:right w:val="none" w:sz="0" w:space="0" w:color="auto"/>
              </w:divBdr>
            </w:div>
          </w:divsChild>
        </w:div>
        <w:div w:id="1843005292">
          <w:marLeft w:val="0"/>
          <w:marRight w:val="0"/>
          <w:marTop w:val="0"/>
          <w:marBottom w:val="0"/>
          <w:divBdr>
            <w:top w:val="none" w:sz="0" w:space="0" w:color="auto"/>
            <w:left w:val="none" w:sz="0" w:space="0" w:color="auto"/>
            <w:bottom w:val="none" w:sz="0" w:space="0" w:color="auto"/>
            <w:right w:val="none" w:sz="0" w:space="0" w:color="auto"/>
          </w:divBdr>
          <w:divsChild>
            <w:div w:id="677271037">
              <w:marLeft w:val="0"/>
              <w:marRight w:val="0"/>
              <w:marTop w:val="0"/>
              <w:marBottom w:val="0"/>
              <w:divBdr>
                <w:top w:val="none" w:sz="0" w:space="0" w:color="auto"/>
                <w:left w:val="none" w:sz="0" w:space="0" w:color="auto"/>
                <w:bottom w:val="none" w:sz="0" w:space="0" w:color="auto"/>
                <w:right w:val="none" w:sz="0" w:space="0" w:color="auto"/>
              </w:divBdr>
            </w:div>
          </w:divsChild>
        </w:div>
        <w:div w:id="1886022983">
          <w:marLeft w:val="0"/>
          <w:marRight w:val="0"/>
          <w:marTop w:val="0"/>
          <w:marBottom w:val="0"/>
          <w:divBdr>
            <w:top w:val="none" w:sz="0" w:space="0" w:color="auto"/>
            <w:left w:val="none" w:sz="0" w:space="0" w:color="auto"/>
            <w:bottom w:val="none" w:sz="0" w:space="0" w:color="auto"/>
            <w:right w:val="none" w:sz="0" w:space="0" w:color="auto"/>
          </w:divBdr>
          <w:divsChild>
            <w:div w:id="68622611">
              <w:marLeft w:val="0"/>
              <w:marRight w:val="0"/>
              <w:marTop w:val="0"/>
              <w:marBottom w:val="0"/>
              <w:divBdr>
                <w:top w:val="none" w:sz="0" w:space="0" w:color="auto"/>
                <w:left w:val="none" w:sz="0" w:space="0" w:color="auto"/>
                <w:bottom w:val="none" w:sz="0" w:space="0" w:color="auto"/>
                <w:right w:val="none" w:sz="0" w:space="0" w:color="auto"/>
              </w:divBdr>
            </w:div>
          </w:divsChild>
        </w:div>
        <w:div w:id="1905068322">
          <w:marLeft w:val="0"/>
          <w:marRight w:val="0"/>
          <w:marTop w:val="0"/>
          <w:marBottom w:val="0"/>
          <w:divBdr>
            <w:top w:val="none" w:sz="0" w:space="0" w:color="auto"/>
            <w:left w:val="none" w:sz="0" w:space="0" w:color="auto"/>
            <w:bottom w:val="none" w:sz="0" w:space="0" w:color="auto"/>
            <w:right w:val="none" w:sz="0" w:space="0" w:color="auto"/>
          </w:divBdr>
          <w:divsChild>
            <w:div w:id="1846358820">
              <w:marLeft w:val="0"/>
              <w:marRight w:val="0"/>
              <w:marTop w:val="0"/>
              <w:marBottom w:val="0"/>
              <w:divBdr>
                <w:top w:val="none" w:sz="0" w:space="0" w:color="auto"/>
                <w:left w:val="none" w:sz="0" w:space="0" w:color="auto"/>
                <w:bottom w:val="none" w:sz="0" w:space="0" w:color="auto"/>
                <w:right w:val="none" w:sz="0" w:space="0" w:color="auto"/>
              </w:divBdr>
            </w:div>
          </w:divsChild>
        </w:div>
        <w:div w:id="1906450425">
          <w:marLeft w:val="0"/>
          <w:marRight w:val="0"/>
          <w:marTop w:val="0"/>
          <w:marBottom w:val="0"/>
          <w:divBdr>
            <w:top w:val="none" w:sz="0" w:space="0" w:color="auto"/>
            <w:left w:val="none" w:sz="0" w:space="0" w:color="auto"/>
            <w:bottom w:val="none" w:sz="0" w:space="0" w:color="auto"/>
            <w:right w:val="none" w:sz="0" w:space="0" w:color="auto"/>
          </w:divBdr>
          <w:divsChild>
            <w:div w:id="859198299">
              <w:marLeft w:val="0"/>
              <w:marRight w:val="0"/>
              <w:marTop w:val="0"/>
              <w:marBottom w:val="0"/>
              <w:divBdr>
                <w:top w:val="none" w:sz="0" w:space="0" w:color="auto"/>
                <w:left w:val="none" w:sz="0" w:space="0" w:color="auto"/>
                <w:bottom w:val="none" w:sz="0" w:space="0" w:color="auto"/>
                <w:right w:val="none" w:sz="0" w:space="0" w:color="auto"/>
              </w:divBdr>
            </w:div>
          </w:divsChild>
        </w:div>
        <w:div w:id="1922251449">
          <w:marLeft w:val="0"/>
          <w:marRight w:val="0"/>
          <w:marTop w:val="0"/>
          <w:marBottom w:val="0"/>
          <w:divBdr>
            <w:top w:val="none" w:sz="0" w:space="0" w:color="auto"/>
            <w:left w:val="none" w:sz="0" w:space="0" w:color="auto"/>
            <w:bottom w:val="none" w:sz="0" w:space="0" w:color="auto"/>
            <w:right w:val="none" w:sz="0" w:space="0" w:color="auto"/>
          </w:divBdr>
          <w:divsChild>
            <w:div w:id="1946225844">
              <w:marLeft w:val="0"/>
              <w:marRight w:val="0"/>
              <w:marTop w:val="0"/>
              <w:marBottom w:val="0"/>
              <w:divBdr>
                <w:top w:val="none" w:sz="0" w:space="0" w:color="auto"/>
                <w:left w:val="none" w:sz="0" w:space="0" w:color="auto"/>
                <w:bottom w:val="none" w:sz="0" w:space="0" w:color="auto"/>
                <w:right w:val="none" w:sz="0" w:space="0" w:color="auto"/>
              </w:divBdr>
            </w:div>
          </w:divsChild>
        </w:div>
        <w:div w:id="1922568141">
          <w:marLeft w:val="0"/>
          <w:marRight w:val="0"/>
          <w:marTop w:val="0"/>
          <w:marBottom w:val="0"/>
          <w:divBdr>
            <w:top w:val="none" w:sz="0" w:space="0" w:color="auto"/>
            <w:left w:val="none" w:sz="0" w:space="0" w:color="auto"/>
            <w:bottom w:val="none" w:sz="0" w:space="0" w:color="auto"/>
            <w:right w:val="none" w:sz="0" w:space="0" w:color="auto"/>
          </w:divBdr>
          <w:divsChild>
            <w:div w:id="759373926">
              <w:marLeft w:val="0"/>
              <w:marRight w:val="0"/>
              <w:marTop w:val="0"/>
              <w:marBottom w:val="0"/>
              <w:divBdr>
                <w:top w:val="none" w:sz="0" w:space="0" w:color="auto"/>
                <w:left w:val="none" w:sz="0" w:space="0" w:color="auto"/>
                <w:bottom w:val="none" w:sz="0" w:space="0" w:color="auto"/>
                <w:right w:val="none" w:sz="0" w:space="0" w:color="auto"/>
              </w:divBdr>
            </w:div>
          </w:divsChild>
        </w:div>
        <w:div w:id="1936135851">
          <w:marLeft w:val="0"/>
          <w:marRight w:val="0"/>
          <w:marTop w:val="0"/>
          <w:marBottom w:val="0"/>
          <w:divBdr>
            <w:top w:val="none" w:sz="0" w:space="0" w:color="auto"/>
            <w:left w:val="none" w:sz="0" w:space="0" w:color="auto"/>
            <w:bottom w:val="none" w:sz="0" w:space="0" w:color="auto"/>
            <w:right w:val="none" w:sz="0" w:space="0" w:color="auto"/>
          </w:divBdr>
          <w:divsChild>
            <w:div w:id="1972980287">
              <w:marLeft w:val="0"/>
              <w:marRight w:val="0"/>
              <w:marTop w:val="0"/>
              <w:marBottom w:val="0"/>
              <w:divBdr>
                <w:top w:val="none" w:sz="0" w:space="0" w:color="auto"/>
                <w:left w:val="none" w:sz="0" w:space="0" w:color="auto"/>
                <w:bottom w:val="none" w:sz="0" w:space="0" w:color="auto"/>
                <w:right w:val="none" w:sz="0" w:space="0" w:color="auto"/>
              </w:divBdr>
            </w:div>
          </w:divsChild>
        </w:div>
        <w:div w:id="1961912113">
          <w:marLeft w:val="0"/>
          <w:marRight w:val="0"/>
          <w:marTop w:val="0"/>
          <w:marBottom w:val="0"/>
          <w:divBdr>
            <w:top w:val="none" w:sz="0" w:space="0" w:color="auto"/>
            <w:left w:val="none" w:sz="0" w:space="0" w:color="auto"/>
            <w:bottom w:val="none" w:sz="0" w:space="0" w:color="auto"/>
            <w:right w:val="none" w:sz="0" w:space="0" w:color="auto"/>
          </w:divBdr>
          <w:divsChild>
            <w:div w:id="1280067005">
              <w:marLeft w:val="0"/>
              <w:marRight w:val="0"/>
              <w:marTop w:val="0"/>
              <w:marBottom w:val="0"/>
              <w:divBdr>
                <w:top w:val="none" w:sz="0" w:space="0" w:color="auto"/>
                <w:left w:val="none" w:sz="0" w:space="0" w:color="auto"/>
                <w:bottom w:val="none" w:sz="0" w:space="0" w:color="auto"/>
                <w:right w:val="none" w:sz="0" w:space="0" w:color="auto"/>
              </w:divBdr>
            </w:div>
          </w:divsChild>
        </w:div>
        <w:div w:id="1995334771">
          <w:marLeft w:val="0"/>
          <w:marRight w:val="0"/>
          <w:marTop w:val="0"/>
          <w:marBottom w:val="0"/>
          <w:divBdr>
            <w:top w:val="none" w:sz="0" w:space="0" w:color="auto"/>
            <w:left w:val="none" w:sz="0" w:space="0" w:color="auto"/>
            <w:bottom w:val="none" w:sz="0" w:space="0" w:color="auto"/>
            <w:right w:val="none" w:sz="0" w:space="0" w:color="auto"/>
          </w:divBdr>
          <w:divsChild>
            <w:div w:id="1266116541">
              <w:marLeft w:val="0"/>
              <w:marRight w:val="0"/>
              <w:marTop w:val="0"/>
              <w:marBottom w:val="0"/>
              <w:divBdr>
                <w:top w:val="none" w:sz="0" w:space="0" w:color="auto"/>
                <w:left w:val="none" w:sz="0" w:space="0" w:color="auto"/>
                <w:bottom w:val="none" w:sz="0" w:space="0" w:color="auto"/>
                <w:right w:val="none" w:sz="0" w:space="0" w:color="auto"/>
              </w:divBdr>
            </w:div>
          </w:divsChild>
        </w:div>
        <w:div w:id="2013145436">
          <w:marLeft w:val="0"/>
          <w:marRight w:val="0"/>
          <w:marTop w:val="0"/>
          <w:marBottom w:val="0"/>
          <w:divBdr>
            <w:top w:val="none" w:sz="0" w:space="0" w:color="auto"/>
            <w:left w:val="none" w:sz="0" w:space="0" w:color="auto"/>
            <w:bottom w:val="none" w:sz="0" w:space="0" w:color="auto"/>
            <w:right w:val="none" w:sz="0" w:space="0" w:color="auto"/>
          </w:divBdr>
          <w:divsChild>
            <w:div w:id="945037307">
              <w:marLeft w:val="0"/>
              <w:marRight w:val="0"/>
              <w:marTop w:val="0"/>
              <w:marBottom w:val="0"/>
              <w:divBdr>
                <w:top w:val="none" w:sz="0" w:space="0" w:color="auto"/>
                <w:left w:val="none" w:sz="0" w:space="0" w:color="auto"/>
                <w:bottom w:val="none" w:sz="0" w:space="0" w:color="auto"/>
                <w:right w:val="none" w:sz="0" w:space="0" w:color="auto"/>
              </w:divBdr>
            </w:div>
          </w:divsChild>
        </w:div>
        <w:div w:id="2063864204">
          <w:marLeft w:val="0"/>
          <w:marRight w:val="0"/>
          <w:marTop w:val="0"/>
          <w:marBottom w:val="0"/>
          <w:divBdr>
            <w:top w:val="none" w:sz="0" w:space="0" w:color="auto"/>
            <w:left w:val="none" w:sz="0" w:space="0" w:color="auto"/>
            <w:bottom w:val="none" w:sz="0" w:space="0" w:color="auto"/>
            <w:right w:val="none" w:sz="0" w:space="0" w:color="auto"/>
          </w:divBdr>
          <w:divsChild>
            <w:div w:id="424619795">
              <w:marLeft w:val="0"/>
              <w:marRight w:val="0"/>
              <w:marTop w:val="0"/>
              <w:marBottom w:val="0"/>
              <w:divBdr>
                <w:top w:val="none" w:sz="0" w:space="0" w:color="auto"/>
                <w:left w:val="none" w:sz="0" w:space="0" w:color="auto"/>
                <w:bottom w:val="none" w:sz="0" w:space="0" w:color="auto"/>
                <w:right w:val="none" w:sz="0" w:space="0" w:color="auto"/>
              </w:divBdr>
            </w:div>
          </w:divsChild>
        </w:div>
        <w:div w:id="2075397446">
          <w:marLeft w:val="0"/>
          <w:marRight w:val="0"/>
          <w:marTop w:val="0"/>
          <w:marBottom w:val="0"/>
          <w:divBdr>
            <w:top w:val="none" w:sz="0" w:space="0" w:color="auto"/>
            <w:left w:val="none" w:sz="0" w:space="0" w:color="auto"/>
            <w:bottom w:val="none" w:sz="0" w:space="0" w:color="auto"/>
            <w:right w:val="none" w:sz="0" w:space="0" w:color="auto"/>
          </w:divBdr>
          <w:divsChild>
            <w:div w:id="1930773712">
              <w:marLeft w:val="0"/>
              <w:marRight w:val="0"/>
              <w:marTop w:val="0"/>
              <w:marBottom w:val="0"/>
              <w:divBdr>
                <w:top w:val="none" w:sz="0" w:space="0" w:color="auto"/>
                <w:left w:val="none" w:sz="0" w:space="0" w:color="auto"/>
                <w:bottom w:val="none" w:sz="0" w:space="0" w:color="auto"/>
                <w:right w:val="none" w:sz="0" w:space="0" w:color="auto"/>
              </w:divBdr>
            </w:div>
          </w:divsChild>
        </w:div>
        <w:div w:id="2083717858">
          <w:marLeft w:val="0"/>
          <w:marRight w:val="0"/>
          <w:marTop w:val="0"/>
          <w:marBottom w:val="0"/>
          <w:divBdr>
            <w:top w:val="none" w:sz="0" w:space="0" w:color="auto"/>
            <w:left w:val="none" w:sz="0" w:space="0" w:color="auto"/>
            <w:bottom w:val="none" w:sz="0" w:space="0" w:color="auto"/>
            <w:right w:val="none" w:sz="0" w:space="0" w:color="auto"/>
          </w:divBdr>
          <w:divsChild>
            <w:div w:id="580018703">
              <w:marLeft w:val="0"/>
              <w:marRight w:val="0"/>
              <w:marTop w:val="0"/>
              <w:marBottom w:val="0"/>
              <w:divBdr>
                <w:top w:val="none" w:sz="0" w:space="0" w:color="auto"/>
                <w:left w:val="none" w:sz="0" w:space="0" w:color="auto"/>
                <w:bottom w:val="none" w:sz="0" w:space="0" w:color="auto"/>
                <w:right w:val="none" w:sz="0" w:space="0" w:color="auto"/>
              </w:divBdr>
            </w:div>
          </w:divsChild>
        </w:div>
        <w:div w:id="2101827493">
          <w:marLeft w:val="0"/>
          <w:marRight w:val="0"/>
          <w:marTop w:val="0"/>
          <w:marBottom w:val="0"/>
          <w:divBdr>
            <w:top w:val="none" w:sz="0" w:space="0" w:color="auto"/>
            <w:left w:val="none" w:sz="0" w:space="0" w:color="auto"/>
            <w:bottom w:val="none" w:sz="0" w:space="0" w:color="auto"/>
            <w:right w:val="none" w:sz="0" w:space="0" w:color="auto"/>
          </w:divBdr>
          <w:divsChild>
            <w:div w:id="12810025">
              <w:marLeft w:val="0"/>
              <w:marRight w:val="0"/>
              <w:marTop w:val="0"/>
              <w:marBottom w:val="0"/>
              <w:divBdr>
                <w:top w:val="none" w:sz="0" w:space="0" w:color="auto"/>
                <w:left w:val="none" w:sz="0" w:space="0" w:color="auto"/>
                <w:bottom w:val="none" w:sz="0" w:space="0" w:color="auto"/>
                <w:right w:val="none" w:sz="0" w:space="0" w:color="auto"/>
              </w:divBdr>
            </w:div>
          </w:divsChild>
        </w:div>
        <w:div w:id="2111244202">
          <w:marLeft w:val="0"/>
          <w:marRight w:val="0"/>
          <w:marTop w:val="0"/>
          <w:marBottom w:val="0"/>
          <w:divBdr>
            <w:top w:val="none" w:sz="0" w:space="0" w:color="auto"/>
            <w:left w:val="none" w:sz="0" w:space="0" w:color="auto"/>
            <w:bottom w:val="none" w:sz="0" w:space="0" w:color="auto"/>
            <w:right w:val="none" w:sz="0" w:space="0" w:color="auto"/>
          </w:divBdr>
          <w:divsChild>
            <w:div w:id="1298759529">
              <w:marLeft w:val="0"/>
              <w:marRight w:val="0"/>
              <w:marTop w:val="0"/>
              <w:marBottom w:val="0"/>
              <w:divBdr>
                <w:top w:val="none" w:sz="0" w:space="0" w:color="auto"/>
                <w:left w:val="none" w:sz="0" w:space="0" w:color="auto"/>
                <w:bottom w:val="none" w:sz="0" w:space="0" w:color="auto"/>
                <w:right w:val="none" w:sz="0" w:space="0" w:color="auto"/>
              </w:divBdr>
            </w:div>
          </w:divsChild>
        </w:div>
        <w:div w:id="2114741748">
          <w:marLeft w:val="0"/>
          <w:marRight w:val="0"/>
          <w:marTop w:val="0"/>
          <w:marBottom w:val="0"/>
          <w:divBdr>
            <w:top w:val="none" w:sz="0" w:space="0" w:color="auto"/>
            <w:left w:val="none" w:sz="0" w:space="0" w:color="auto"/>
            <w:bottom w:val="none" w:sz="0" w:space="0" w:color="auto"/>
            <w:right w:val="none" w:sz="0" w:space="0" w:color="auto"/>
          </w:divBdr>
          <w:divsChild>
            <w:div w:id="1478304727">
              <w:marLeft w:val="0"/>
              <w:marRight w:val="0"/>
              <w:marTop w:val="0"/>
              <w:marBottom w:val="0"/>
              <w:divBdr>
                <w:top w:val="none" w:sz="0" w:space="0" w:color="auto"/>
                <w:left w:val="none" w:sz="0" w:space="0" w:color="auto"/>
                <w:bottom w:val="none" w:sz="0" w:space="0" w:color="auto"/>
                <w:right w:val="none" w:sz="0" w:space="0" w:color="auto"/>
              </w:divBdr>
            </w:div>
          </w:divsChild>
        </w:div>
        <w:div w:id="2118015288">
          <w:marLeft w:val="0"/>
          <w:marRight w:val="0"/>
          <w:marTop w:val="0"/>
          <w:marBottom w:val="0"/>
          <w:divBdr>
            <w:top w:val="none" w:sz="0" w:space="0" w:color="auto"/>
            <w:left w:val="none" w:sz="0" w:space="0" w:color="auto"/>
            <w:bottom w:val="none" w:sz="0" w:space="0" w:color="auto"/>
            <w:right w:val="none" w:sz="0" w:space="0" w:color="auto"/>
          </w:divBdr>
          <w:divsChild>
            <w:div w:id="142082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184767">
      <w:bodyDiv w:val="1"/>
      <w:marLeft w:val="0"/>
      <w:marRight w:val="0"/>
      <w:marTop w:val="0"/>
      <w:marBottom w:val="0"/>
      <w:divBdr>
        <w:top w:val="none" w:sz="0" w:space="0" w:color="auto"/>
        <w:left w:val="none" w:sz="0" w:space="0" w:color="auto"/>
        <w:bottom w:val="none" w:sz="0" w:space="0" w:color="auto"/>
        <w:right w:val="none" w:sz="0" w:space="0" w:color="auto"/>
      </w:divBdr>
    </w:div>
    <w:div w:id="1210797383">
      <w:bodyDiv w:val="1"/>
      <w:marLeft w:val="0"/>
      <w:marRight w:val="0"/>
      <w:marTop w:val="0"/>
      <w:marBottom w:val="0"/>
      <w:divBdr>
        <w:top w:val="none" w:sz="0" w:space="0" w:color="auto"/>
        <w:left w:val="none" w:sz="0" w:space="0" w:color="auto"/>
        <w:bottom w:val="none" w:sz="0" w:space="0" w:color="auto"/>
        <w:right w:val="none" w:sz="0" w:space="0" w:color="auto"/>
      </w:divBdr>
    </w:div>
    <w:div w:id="1227566141">
      <w:bodyDiv w:val="1"/>
      <w:marLeft w:val="0"/>
      <w:marRight w:val="0"/>
      <w:marTop w:val="0"/>
      <w:marBottom w:val="0"/>
      <w:divBdr>
        <w:top w:val="none" w:sz="0" w:space="0" w:color="auto"/>
        <w:left w:val="none" w:sz="0" w:space="0" w:color="auto"/>
        <w:bottom w:val="none" w:sz="0" w:space="0" w:color="auto"/>
        <w:right w:val="none" w:sz="0" w:space="0" w:color="auto"/>
      </w:divBdr>
    </w:div>
    <w:div w:id="1240679924">
      <w:bodyDiv w:val="1"/>
      <w:marLeft w:val="0"/>
      <w:marRight w:val="0"/>
      <w:marTop w:val="0"/>
      <w:marBottom w:val="0"/>
      <w:divBdr>
        <w:top w:val="none" w:sz="0" w:space="0" w:color="auto"/>
        <w:left w:val="none" w:sz="0" w:space="0" w:color="auto"/>
        <w:bottom w:val="none" w:sz="0" w:space="0" w:color="auto"/>
        <w:right w:val="none" w:sz="0" w:space="0" w:color="auto"/>
      </w:divBdr>
      <w:divsChild>
        <w:div w:id="1626886532">
          <w:marLeft w:val="691"/>
          <w:marRight w:val="0"/>
          <w:marTop w:val="0"/>
          <w:marBottom w:val="0"/>
          <w:divBdr>
            <w:top w:val="none" w:sz="0" w:space="0" w:color="auto"/>
            <w:left w:val="none" w:sz="0" w:space="0" w:color="auto"/>
            <w:bottom w:val="none" w:sz="0" w:space="0" w:color="auto"/>
            <w:right w:val="none" w:sz="0" w:space="0" w:color="auto"/>
          </w:divBdr>
        </w:div>
      </w:divsChild>
    </w:div>
    <w:div w:id="1249852189">
      <w:bodyDiv w:val="1"/>
      <w:marLeft w:val="0"/>
      <w:marRight w:val="0"/>
      <w:marTop w:val="0"/>
      <w:marBottom w:val="0"/>
      <w:divBdr>
        <w:top w:val="none" w:sz="0" w:space="0" w:color="auto"/>
        <w:left w:val="none" w:sz="0" w:space="0" w:color="auto"/>
        <w:bottom w:val="none" w:sz="0" w:space="0" w:color="auto"/>
        <w:right w:val="none" w:sz="0" w:space="0" w:color="auto"/>
      </w:divBdr>
    </w:div>
    <w:div w:id="1266959521">
      <w:bodyDiv w:val="1"/>
      <w:marLeft w:val="0"/>
      <w:marRight w:val="0"/>
      <w:marTop w:val="0"/>
      <w:marBottom w:val="0"/>
      <w:divBdr>
        <w:top w:val="none" w:sz="0" w:space="0" w:color="auto"/>
        <w:left w:val="none" w:sz="0" w:space="0" w:color="auto"/>
        <w:bottom w:val="none" w:sz="0" w:space="0" w:color="auto"/>
        <w:right w:val="none" w:sz="0" w:space="0" w:color="auto"/>
      </w:divBdr>
    </w:div>
    <w:div w:id="1269583457">
      <w:bodyDiv w:val="1"/>
      <w:marLeft w:val="0"/>
      <w:marRight w:val="0"/>
      <w:marTop w:val="0"/>
      <w:marBottom w:val="0"/>
      <w:divBdr>
        <w:top w:val="none" w:sz="0" w:space="0" w:color="auto"/>
        <w:left w:val="none" w:sz="0" w:space="0" w:color="auto"/>
        <w:bottom w:val="none" w:sz="0" w:space="0" w:color="auto"/>
        <w:right w:val="none" w:sz="0" w:space="0" w:color="auto"/>
      </w:divBdr>
    </w:div>
    <w:div w:id="1269773919">
      <w:bodyDiv w:val="1"/>
      <w:marLeft w:val="0"/>
      <w:marRight w:val="0"/>
      <w:marTop w:val="0"/>
      <w:marBottom w:val="0"/>
      <w:divBdr>
        <w:top w:val="none" w:sz="0" w:space="0" w:color="auto"/>
        <w:left w:val="none" w:sz="0" w:space="0" w:color="auto"/>
        <w:bottom w:val="none" w:sz="0" w:space="0" w:color="auto"/>
        <w:right w:val="none" w:sz="0" w:space="0" w:color="auto"/>
      </w:divBdr>
    </w:div>
    <w:div w:id="1274478982">
      <w:bodyDiv w:val="1"/>
      <w:marLeft w:val="0"/>
      <w:marRight w:val="0"/>
      <w:marTop w:val="0"/>
      <w:marBottom w:val="0"/>
      <w:divBdr>
        <w:top w:val="none" w:sz="0" w:space="0" w:color="auto"/>
        <w:left w:val="none" w:sz="0" w:space="0" w:color="auto"/>
        <w:bottom w:val="none" w:sz="0" w:space="0" w:color="auto"/>
        <w:right w:val="none" w:sz="0" w:space="0" w:color="auto"/>
      </w:divBdr>
    </w:div>
    <w:div w:id="1299454450">
      <w:bodyDiv w:val="1"/>
      <w:marLeft w:val="0"/>
      <w:marRight w:val="0"/>
      <w:marTop w:val="0"/>
      <w:marBottom w:val="0"/>
      <w:divBdr>
        <w:top w:val="none" w:sz="0" w:space="0" w:color="auto"/>
        <w:left w:val="none" w:sz="0" w:space="0" w:color="auto"/>
        <w:bottom w:val="none" w:sz="0" w:space="0" w:color="auto"/>
        <w:right w:val="none" w:sz="0" w:space="0" w:color="auto"/>
      </w:divBdr>
    </w:div>
    <w:div w:id="1316641399">
      <w:bodyDiv w:val="1"/>
      <w:marLeft w:val="0"/>
      <w:marRight w:val="0"/>
      <w:marTop w:val="0"/>
      <w:marBottom w:val="0"/>
      <w:divBdr>
        <w:top w:val="none" w:sz="0" w:space="0" w:color="auto"/>
        <w:left w:val="none" w:sz="0" w:space="0" w:color="auto"/>
        <w:bottom w:val="none" w:sz="0" w:space="0" w:color="auto"/>
        <w:right w:val="none" w:sz="0" w:space="0" w:color="auto"/>
      </w:divBdr>
      <w:divsChild>
        <w:div w:id="1794131948">
          <w:marLeft w:val="691"/>
          <w:marRight w:val="0"/>
          <w:marTop w:val="0"/>
          <w:marBottom w:val="0"/>
          <w:divBdr>
            <w:top w:val="none" w:sz="0" w:space="0" w:color="auto"/>
            <w:left w:val="none" w:sz="0" w:space="0" w:color="auto"/>
            <w:bottom w:val="none" w:sz="0" w:space="0" w:color="auto"/>
            <w:right w:val="none" w:sz="0" w:space="0" w:color="auto"/>
          </w:divBdr>
        </w:div>
      </w:divsChild>
    </w:div>
    <w:div w:id="1360473803">
      <w:bodyDiv w:val="1"/>
      <w:marLeft w:val="0"/>
      <w:marRight w:val="0"/>
      <w:marTop w:val="0"/>
      <w:marBottom w:val="0"/>
      <w:divBdr>
        <w:top w:val="none" w:sz="0" w:space="0" w:color="auto"/>
        <w:left w:val="none" w:sz="0" w:space="0" w:color="auto"/>
        <w:bottom w:val="none" w:sz="0" w:space="0" w:color="auto"/>
        <w:right w:val="none" w:sz="0" w:space="0" w:color="auto"/>
      </w:divBdr>
      <w:divsChild>
        <w:div w:id="1305963643">
          <w:marLeft w:val="0"/>
          <w:marRight w:val="0"/>
          <w:marTop w:val="0"/>
          <w:marBottom w:val="0"/>
          <w:divBdr>
            <w:top w:val="none" w:sz="0" w:space="0" w:color="auto"/>
            <w:left w:val="none" w:sz="0" w:space="0" w:color="auto"/>
            <w:bottom w:val="none" w:sz="0" w:space="0" w:color="auto"/>
            <w:right w:val="none" w:sz="0" w:space="0" w:color="auto"/>
          </w:divBdr>
          <w:divsChild>
            <w:div w:id="1779181606">
              <w:marLeft w:val="0"/>
              <w:marRight w:val="0"/>
              <w:marTop w:val="0"/>
              <w:marBottom w:val="0"/>
              <w:divBdr>
                <w:top w:val="none" w:sz="0" w:space="0" w:color="auto"/>
                <w:left w:val="none" w:sz="0" w:space="0" w:color="auto"/>
                <w:bottom w:val="none" w:sz="0" w:space="0" w:color="auto"/>
                <w:right w:val="none" w:sz="0" w:space="0" w:color="auto"/>
              </w:divBdr>
              <w:divsChild>
                <w:div w:id="945770347">
                  <w:marLeft w:val="0"/>
                  <w:marRight w:val="0"/>
                  <w:marTop w:val="0"/>
                  <w:marBottom w:val="0"/>
                  <w:divBdr>
                    <w:top w:val="none" w:sz="0" w:space="0" w:color="auto"/>
                    <w:left w:val="none" w:sz="0" w:space="0" w:color="auto"/>
                    <w:bottom w:val="none" w:sz="0" w:space="0" w:color="auto"/>
                    <w:right w:val="none" w:sz="0" w:space="0" w:color="auto"/>
                  </w:divBdr>
                  <w:divsChild>
                    <w:div w:id="81532831">
                      <w:marLeft w:val="0"/>
                      <w:marRight w:val="0"/>
                      <w:marTop w:val="0"/>
                      <w:marBottom w:val="0"/>
                      <w:divBdr>
                        <w:top w:val="none" w:sz="0" w:space="0" w:color="auto"/>
                        <w:left w:val="none" w:sz="0" w:space="0" w:color="auto"/>
                        <w:bottom w:val="none" w:sz="0" w:space="0" w:color="auto"/>
                        <w:right w:val="none" w:sz="0" w:space="0" w:color="auto"/>
                      </w:divBdr>
                      <w:divsChild>
                        <w:div w:id="547423196">
                          <w:marLeft w:val="0"/>
                          <w:marRight w:val="0"/>
                          <w:marTop w:val="0"/>
                          <w:marBottom w:val="0"/>
                          <w:divBdr>
                            <w:top w:val="none" w:sz="0" w:space="0" w:color="auto"/>
                            <w:left w:val="none" w:sz="0" w:space="0" w:color="auto"/>
                            <w:bottom w:val="none" w:sz="0" w:space="0" w:color="auto"/>
                            <w:right w:val="none" w:sz="0" w:space="0" w:color="auto"/>
                          </w:divBdr>
                          <w:divsChild>
                            <w:div w:id="1599216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15099">
                      <w:marLeft w:val="0"/>
                      <w:marRight w:val="0"/>
                      <w:marTop w:val="0"/>
                      <w:marBottom w:val="0"/>
                      <w:divBdr>
                        <w:top w:val="none" w:sz="0" w:space="0" w:color="auto"/>
                        <w:left w:val="none" w:sz="0" w:space="0" w:color="auto"/>
                        <w:bottom w:val="none" w:sz="0" w:space="0" w:color="auto"/>
                        <w:right w:val="none" w:sz="0" w:space="0" w:color="auto"/>
                      </w:divBdr>
                      <w:divsChild>
                        <w:div w:id="1066612274">
                          <w:marLeft w:val="0"/>
                          <w:marRight w:val="0"/>
                          <w:marTop w:val="0"/>
                          <w:marBottom w:val="0"/>
                          <w:divBdr>
                            <w:top w:val="none" w:sz="0" w:space="0" w:color="auto"/>
                            <w:left w:val="none" w:sz="0" w:space="0" w:color="auto"/>
                            <w:bottom w:val="none" w:sz="0" w:space="0" w:color="auto"/>
                            <w:right w:val="none" w:sz="0" w:space="0" w:color="auto"/>
                          </w:divBdr>
                          <w:divsChild>
                            <w:div w:id="205792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6685302">
          <w:marLeft w:val="0"/>
          <w:marRight w:val="0"/>
          <w:marTop w:val="0"/>
          <w:marBottom w:val="0"/>
          <w:divBdr>
            <w:top w:val="none" w:sz="0" w:space="0" w:color="auto"/>
            <w:left w:val="none" w:sz="0" w:space="0" w:color="auto"/>
            <w:bottom w:val="none" w:sz="0" w:space="0" w:color="auto"/>
            <w:right w:val="none" w:sz="0" w:space="0" w:color="auto"/>
          </w:divBdr>
          <w:divsChild>
            <w:div w:id="1141733381">
              <w:marLeft w:val="0"/>
              <w:marRight w:val="0"/>
              <w:marTop w:val="0"/>
              <w:marBottom w:val="0"/>
              <w:divBdr>
                <w:top w:val="none" w:sz="0" w:space="0" w:color="auto"/>
                <w:left w:val="none" w:sz="0" w:space="0" w:color="auto"/>
                <w:bottom w:val="none" w:sz="0" w:space="0" w:color="auto"/>
                <w:right w:val="none" w:sz="0" w:space="0" w:color="auto"/>
              </w:divBdr>
              <w:divsChild>
                <w:div w:id="386992887">
                  <w:marLeft w:val="0"/>
                  <w:marRight w:val="0"/>
                  <w:marTop w:val="0"/>
                  <w:marBottom w:val="0"/>
                  <w:divBdr>
                    <w:top w:val="none" w:sz="0" w:space="0" w:color="auto"/>
                    <w:left w:val="none" w:sz="0" w:space="0" w:color="auto"/>
                    <w:bottom w:val="none" w:sz="0" w:space="0" w:color="auto"/>
                    <w:right w:val="none" w:sz="0" w:space="0" w:color="auto"/>
                  </w:divBdr>
                  <w:divsChild>
                    <w:div w:id="1619681274">
                      <w:marLeft w:val="0"/>
                      <w:marRight w:val="0"/>
                      <w:marTop w:val="0"/>
                      <w:marBottom w:val="0"/>
                      <w:divBdr>
                        <w:top w:val="none" w:sz="0" w:space="0" w:color="auto"/>
                        <w:left w:val="none" w:sz="0" w:space="0" w:color="auto"/>
                        <w:bottom w:val="none" w:sz="0" w:space="0" w:color="auto"/>
                        <w:right w:val="none" w:sz="0" w:space="0" w:color="auto"/>
                      </w:divBdr>
                      <w:divsChild>
                        <w:div w:id="379206346">
                          <w:marLeft w:val="0"/>
                          <w:marRight w:val="0"/>
                          <w:marTop w:val="100"/>
                          <w:marBottom w:val="100"/>
                          <w:divBdr>
                            <w:top w:val="none" w:sz="0" w:space="0" w:color="auto"/>
                            <w:left w:val="none" w:sz="0" w:space="0" w:color="auto"/>
                            <w:bottom w:val="none" w:sz="0" w:space="0" w:color="auto"/>
                            <w:right w:val="none" w:sz="0" w:space="0" w:color="auto"/>
                          </w:divBdr>
                          <w:divsChild>
                            <w:div w:id="289361786">
                              <w:marLeft w:val="0"/>
                              <w:marRight w:val="0"/>
                              <w:marTop w:val="0"/>
                              <w:marBottom w:val="0"/>
                              <w:divBdr>
                                <w:top w:val="none" w:sz="0" w:space="0" w:color="auto"/>
                                <w:left w:val="none" w:sz="0" w:space="0" w:color="auto"/>
                                <w:bottom w:val="none" w:sz="0" w:space="0" w:color="auto"/>
                                <w:right w:val="none" w:sz="0" w:space="0" w:color="auto"/>
                              </w:divBdr>
                              <w:divsChild>
                                <w:div w:id="3867303">
                                  <w:marLeft w:val="0"/>
                                  <w:marRight w:val="0"/>
                                  <w:marTop w:val="0"/>
                                  <w:marBottom w:val="0"/>
                                  <w:divBdr>
                                    <w:top w:val="none" w:sz="0" w:space="0" w:color="auto"/>
                                    <w:left w:val="none" w:sz="0" w:space="0" w:color="auto"/>
                                    <w:bottom w:val="none" w:sz="0" w:space="0" w:color="auto"/>
                                    <w:right w:val="none" w:sz="0" w:space="0" w:color="auto"/>
                                  </w:divBdr>
                                  <w:divsChild>
                                    <w:div w:id="1678773619">
                                      <w:marLeft w:val="0"/>
                                      <w:marRight w:val="0"/>
                                      <w:marTop w:val="0"/>
                                      <w:marBottom w:val="0"/>
                                      <w:divBdr>
                                        <w:top w:val="none" w:sz="0" w:space="0" w:color="auto"/>
                                        <w:left w:val="none" w:sz="0" w:space="0" w:color="auto"/>
                                        <w:bottom w:val="none" w:sz="0" w:space="0" w:color="auto"/>
                                        <w:right w:val="none" w:sz="0" w:space="0" w:color="auto"/>
                                      </w:divBdr>
                                      <w:divsChild>
                                        <w:div w:id="49835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09996">
                                  <w:marLeft w:val="0"/>
                                  <w:marRight w:val="0"/>
                                  <w:marTop w:val="0"/>
                                  <w:marBottom w:val="0"/>
                                  <w:divBdr>
                                    <w:top w:val="none" w:sz="0" w:space="0" w:color="auto"/>
                                    <w:left w:val="none" w:sz="0" w:space="0" w:color="auto"/>
                                    <w:bottom w:val="none" w:sz="0" w:space="0" w:color="auto"/>
                                    <w:right w:val="none" w:sz="0" w:space="0" w:color="auto"/>
                                  </w:divBdr>
                                  <w:divsChild>
                                    <w:div w:id="405540688">
                                      <w:marLeft w:val="0"/>
                                      <w:marRight w:val="0"/>
                                      <w:marTop w:val="0"/>
                                      <w:marBottom w:val="0"/>
                                      <w:divBdr>
                                        <w:top w:val="none" w:sz="0" w:space="0" w:color="auto"/>
                                        <w:left w:val="none" w:sz="0" w:space="0" w:color="auto"/>
                                        <w:bottom w:val="none" w:sz="0" w:space="0" w:color="auto"/>
                                        <w:right w:val="none" w:sz="0" w:space="0" w:color="auto"/>
                                      </w:divBdr>
                                      <w:divsChild>
                                        <w:div w:id="1253971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0034">
                                  <w:marLeft w:val="0"/>
                                  <w:marRight w:val="0"/>
                                  <w:marTop w:val="0"/>
                                  <w:marBottom w:val="0"/>
                                  <w:divBdr>
                                    <w:top w:val="none" w:sz="0" w:space="0" w:color="auto"/>
                                    <w:left w:val="none" w:sz="0" w:space="0" w:color="auto"/>
                                    <w:bottom w:val="none" w:sz="0" w:space="0" w:color="auto"/>
                                    <w:right w:val="none" w:sz="0" w:space="0" w:color="auto"/>
                                  </w:divBdr>
                                  <w:divsChild>
                                    <w:div w:id="1536574045">
                                      <w:marLeft w:val="0"/>
                                      <w:marRight w:val="0"/>
                                      <w:marTop w:val="0"/>
                                      <w:marBottom w:val="0"/>
                                      <w:divBdr>
                                        <w:top w:val="none" w:sz="0" w:space="0" w:color="auto"/>
                                        <w:left w:val="none" w:sz="0" w:space="0" w:color="auto"/>
                                        <w:bottom w:val="none" w:sz="0" w:space="0" w:color="auto"/>
                                        <w:right w:val="none" w:sz="0" w:space="0" w:color="auto"/>
                                      </w:divBdr>
                                      <w:divsChild>
                                        <w:div w:id="169406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24128">
                                  <w:marLeft w:val="0"/>
                                  <w:marRight w:val="0"/>
                                  <w:marTop w:val="0"/>
                                  <w:marBottom w:val="0"/>
                                  <w:divBdr>
                                    <w:top w:val="none" w:sz="0" w:space="0" w:color="auto"/>
                                    <w:left w:val="none" w:sz="0" w:space="0" w:color="auto"/>
                                    <w:bottom w:val="none" w:sz="0" w:space="0" w:color="auto"/>
                                    <w:right w:val="none" w:sz="0" w:space="0" w:color="auto"/>
                                  </w:divBdr>
                                  <w:divsChild>
                                    <w:div w:id="1729298889">
                                      <w:marLeft w:val="0"/>
                                      <w:marRight w:val="0"/>
                                      <w:marTop w:val="0"/>
                                      <w:marBottom w:val="0"/>
                                      <w:divBdr>
                                        <w:top w:val="none" w:sz="0" w:space="0" w:color="auto"/>
                                        <w:left w:val="none" w:sz="0" w:space="0" w:color="auto"/>
                                        <w:bottom w:val="none" w:sz="0" w:space="0" w:color="auto"/>
                                        <w:right w:val="none" w:sz="0" w:space="0" w:color="auto"/>
                                      </w:divBdr>
                                      <w:divsChild>
                                        <w:div w:id="1396705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00206">
                                  <w:marLeft w:val="0"/>
                                  <w:marRight w:val="0"/>
                                  <w:marTop w:val="0"/>
                                  <w:marBottom w:val="0"/>
                                  <w:divBdr>
                                    <w:top w:val="none" w:sz="0" w:space="0" w:color="auto"/>
                                    <w:left w:val="none" w:sz="0" w:space="0" w:color="auto"/>
                                    <w:bottom w:val="none" w:sz="0" w:space="0" w:color="auto"/>
                                    <w:right w:val="none" w:sz="0" w:space="0" w:color="auto"/>
                                  </w:divBdr>
                                  <w:divsChild>
                                    <w:div w:id="656374255">
                                      <w:marLeft w:val="0"/>
                                      <w:marRight w:val="0"/>
                                      <w:marTop w:val="0"/>
                                      <w:marBottom w:val="0"/>
                                      <w:divBdr>
                                        <w:top w:val="none" w:sz="0" w:space="0" w:color="auto"/>
                                        <w:left w:val="none" w:sz="0" w:space="0" w:color="auto"/>
                                        <w:bottom w:val="none" w:sz="0" w:space="0" w:color="auto"/>
                                        <w:right w:val="none" w:sz="0" w:space="0" w:color="auto"/>
                                      </w:divBdr>
                                      <w:divsChild>
                                        <w:div w:id="33064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93465">
                                  <w:marLeft w:val="0"/>
                                  <w:marRight w:val="0"/>
                                  <w:marTop w:val="0"/>
                                  <w:marBottom w:val="0"/>
                                  <w:divBdr>
                                    <w:top w:val="none" w:sz="0" w:space="0" w:color="auto"/>
                                    <w:left w:val="none" w:sz="0" w:space="0" w:color="auto"/>
                                    <w:bottom w:val="none" w:sz="0" w:space="0" w:color="auto"/>
                                    <w:right w:val="none" w:sz="0" w:space="0" w:color="auto"/>
                                  </w:divBdr>
                                  <w:divsChild>
                                    <w:div w:id="1120303042">
                                      <w:marLeft w:val="0"/>
                                      <w:marRight w:val="0"/>
                                      <w:marTop w:val="0"/>
                                      <w:marBottom w:val="0"/>
                                      <w:divBdr>
                                        <w:top w:val="none" w:sz="0" w:space="0" w:color="auto"/>
                                        <w:left w:val="none" w:sz="0" w:space="0" w:color="auto"/>
                                        <w:bottom w:val="none" w:sz="0" w:space="0" w:color="auto"/>
                                        <w:right w:val="none" w:sz="0" w:space="0" w:color="auto"/>
                                      </w:divBdr>
                                      <w:divsChild>
                                        <w:div w:id="154345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858896">
                                  <w:marLeft w:val="0"/>
                                  <w:marRight w:val="0"/>
                                  <w:marTop w:val="0"/>
                                  <w:marBottom w:val="0"/>
                                  <w:divBdr>
                                    <w:top w:val="none" w:sz="0" w:space="0" w:color="auto"/>
                                    <w:left w:val="none" w:sz="0" w:space="0" w:color="auto"/>
                                    <w:bottom w:val="none" w:sz="0" w:space="0" w:color="auto"/>
                                    <w:right w:val="none" w:sz="0" w:space="0" w:color="auto"/>
                                  </w:divBdr>
                                  <w:divsChild>
                                    <w:div w:id="2112313000">
                                      <w:marLeft w:val="0"/>
                                      <w:marRight w:val="0"/>
                                      <w:marTop w:val="0"/>
                                      <w:marBottom w:val="0"/>
                                      <w:divBdr>
                                        <w:top w:val="none" w:sz="0" w:space="0" w:color="auto"/>
                                        <w:left w:val="none" w:sz="0" w:space="0" w:color="auto"/>
                                        <w:bottom w:val="none" w:sz="0" w:space="0" w:color="auto"/>
                                        <w:right w:val="none" w:sz="0" w:space="0" w:color="auto"/>
                                      </w:divBdr>
                                      <w:divsChild>
                                        <w:div w:id="1458328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289331">
                                  <w:marLeft w:val="0"/>
                                  <w:marRight w:val="0"/>
                                  <w:marTop w:val="0"/>
                                  <w:marBottom w:val="0"/>
                                  <w:divBdr>
                                    <w:top w:val="none" w:sz="0" w:space="0" w:color="auto"/>
                                    <w:left w:val="none" w:sz="0" w:space="0" w:color="auto"/>
                                    <w:bottom w:val="none" w:sz="0" w:space="0" w:color="auto"/>
                                    <w:right w:val="none" w:sz="0" w:space="0" w:color="auto"/>
                                  </w:divBdr>
                                  <w:divsChild>
                                    <w:div w:id="2080322410">
                                      <w:marLeft w:val="0"/>
                                      <w:marRight w:val="0"/>
                                      <w:marTop w:val="0"/>
                                      <w:marBottom w:val="0"/>
                                      <w:divBdr>
                                        <w:top w:val="none" w:sz="0" w:space="0" w:color="auto"/>
                                        <w:left w:val="none" w:sz="0" w:space="0" w:color="auto"/>
                                        <w:bottom w:val="none" w:sz="0" w:space="0" w:color="auto"/>
                                        <w:right w:val="none" w:sz="0" w:space="0" w:color="auto"/>
                                      </w:divBdr>
                                      <w:divsChild>
                                        <w:div w:id="195639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93808">
                                  <w:marLeft w:val="0"/>
                                  <w:marRight w:val="0"/>
                                  <w:marTop w:val="0"/>
                                  <w:marBottom w:val="0"/>
                                  <w:divBdr>
                                    <w:top w:val="none" w:sz="0" w:space="0" w:color="auto"/>
                                    <w:left w:val="none" w:sz="0" w:space="0" w:color="auto"/>
                                    <w:bottom w:val="none" w:sz="0" w:space="0" w:color="auto"/>
                                    <w:right w:val="none" w:sz="0" w:space="0" w:color="auto"/>
                                  </w:divBdr>
                                  <w:divsChild>
                                    <w:div w:id="1928074095">
                                      <w:marLeft w:val="0"/>
                                      <w:marRight w:val="0"/>
                                      <w:marTop w:val="0"/>
                                      <w:marBottom w:val="0"/>
                                      <w:divBdr>
                                        <w:top w:val="none" w:sz="0" w:space="0" w:color="auto"/>
                                        <w:left w:val="none" w:sz="0" w:space="0" w:color="auto"/>
                                        <w:bottom w:val="none" w:sz="0" w:space="0" w:color="auto"/>
                                        <w:right w:val="none" w:sz="0" w:space="0" w:color="auto"/>
                                      </w:divBdr>
                                      <w:divsChild>
                                        <w:div w:id="181240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8102">
                                  <w:marLeft w:val="0"/>
                                  <w:marRight w:val="0"/>
                                  <w:marTop w:val="0"/>
                                  <w:marBottom w:val="0"/>
                                  <w:divBdr>
                                    <w:top w:val="none" w:sz="0" w:space="0" w:color="auto"/>
                                    <w:left w:val="none" w:sz="0" w:space="0" w:color="auto"/>
                                    <w:bottom w:val="none" w:sz="0" w:space="0" w:color="auto"/>
                                    <w:right w:val="none" w:sz="0" w:space="0" w:color="auto"/>
                                  </w:divBdr>
                                  <w:divsChild>
                                    <w:div w:id="25569263">
                                      <w:marLeft w:val="0"/>
                                      <w:marRight w:val="0"/>
                                      <w:marTop w:val="0"/>
                                      <w:marBottom w:val="0"/>
                                      <w:divBdr>
                                        <w:top w:val="none" w:sz="0" w:space="0" w:color="auto"/>
                                        <w:left w:val="none" w:sz="0" w:space="0" w:color="auto"/>
                                        <w:bottom w:val="none" w:sz="0" w:space="0" w:color="auto"/>
                                        <w:right w:val="none" w:sz="0" w:space="0" w:color="auto"/>
                                      </w:divBdr>
                                      <w:divsChild>
                                        <w:div w:id="82647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98595">
                                  <w:marLeft w:val="0"/>
                                  <w:marRight w:val="0"/>
                                  <w:marTop w:val="0"/>
                                  <w:marBottom w:val="0"/>
                                  <w:divBdr>
                                    <w:top w:val="none" w:sz="0" w:space="0" w:color="auto"/>
                                    <w:left w:val="none" w:sz="0" w:space="0" w:color="auto"/>
                                    <w:bottom w:val="none" w:sz="0" w:space="0" w:color="auto"/>
                                    <w:right w:val="none" w:sz="0" w:space="0" w:color="auto"/>
                                  </w:divBdr>
                                  <w:divsChild>
                                    <w:div w:id="1045065369">
                                      <w:marLeft w:val="0"/>
                                      <w:marRight w:val="0"/>
                                      <w:marTop w:val="0"/>
                                      <w:marBottom w:val="0"/>
                                      <w:divBdr>
                                        <w:top w:val="none" w:sz="0" w:space="0" w:color="auto"/>
                                        <w:left w:val="none" w:sz="0" w:space="0" w:color="auto"/>
                                        <w:bottom w:val="none" w:sz="0" w:space="0" w:color="auto"/>
                                        <w:right w:val="none" w:sz="0" w:space="0" w:color="auto"/>
                                      </w:divBdr>
                                      <w:divsChild>
                                        <w:div w:id="147510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482097">
                                  <w:marLeft w:val="0"/>
                                  <w:marRight w:val="0"/>
                                  <w:marTop w:val="0"/>
                                  <w:marBottom w:val="0"/>
                                  <w:divBdr>
                                    <w:top w:val="none" w:sz="0" w:space="0" w:color="auto"/>
                                    <w:left w:val="none" w:sz="0" w:space="0" w:color="auto"/>
                                    <w:bottom w:val="none" w:sz="0" w:space="0" w:color="auto"/>
                                    <w:right w:val="none" w:sz="0" w:space="0" w:color="auto"/>
                                  </w:divBdr>
                                  <w:divsChild>
                                    <w:div w:id="1700861323">
                                      <w:marLeft w:val="0"/>
                                      <w:marRight w:val="0"/>
                                      <w:marTop w:val="0"/>
                                      <w:marBottom w:val="0"/>
                                      <w:divBdr>
                                        <w:top w:val="none" w:sz="0" w:space="0" w:color="auto"/>
                                        <w:left w:val="none" w:sz="0" w:space="0" w:color="auto"/>
                                        <w:bottom w:val="none" w:sz="0" w:space="0" w:color="auto"/>
                                        <w:right w:val="none" w:sz="0" w:space="0" w:color="auto"/>
                                      </w:divBdr>
                                      <w:divsChild>
                                        <w:div w:id="169638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319481">
                                  <w:marLeft w:val="0"/>
                                  <w:marRight w:val="0"/>
                                  <w:marTop w:val="0"/>
                                  <w:marBottom w:val="0"/>
                                  <w:divBdr>
                                    <w:top w:val="none" w:sz="0" w:space="0" w:color="auto"/>
                                    <w:left w:val="none" w:sz="0" w:space="0" w:color="auto"/>
                                    <w:bottom w:val="none" w:sz="0" w:space="0" w:color="auto"/>
                                    <w:right w:val="none" w:sz="0" w:space="0" w:color="auto"/>
                                  </w:divBdr>
                                  <w:divsChild>
                                    <w:div w:id="31005321">
                                      <w:marLeft w:val="0"/>
                                      <w:marRight w:val="0"/>
                                      <w:marTop w:val="0"/>
                                      <w:marBottom w:val="0"/>
                                      <w:divBdr>
                                        <w:top w:val="none" w:sz="0" w:space="0" w:color="auto"/>
                                        <w:left w:val="none" w:sz="0" w:space="0" w:color="auto"/>
                                        <w:bottom w:val="none" w:sz="0" w:space="0" w:color="auto"/>
                                        <w:right w:val="none" w:sz="0" w:space="0" w:color="auto"/>
                                      </w:divBdr>
                                      <w:divsChild>
                                        <w:div w:id="1502742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653047">
                                  <w:marLeft w:val="0"/>
                                  <w:marRight w:val="0"/>
                                  <w:marTop w:val="0"/>
                                  <w:marBottom w:val="0"/>
                                  <w:divBdr>
                                    <w:top w:val="none" w:sz="0" w:space="0" w:color="auto"/>
                                    <w:left w:val="none" w:sz="0" w:space="0" w:color="auto"/>
                                    <w:bottom w:val="none" w:sz="0" w:space="0" w:color="auto"/>
                                    <w:right w:val="none" w:sz="0" w:space="0" w:color="auto"/>
                                  </w:divBdr>
                                  <w:divsChild>
                                    <w:div w:id="1895195268">
                                      <w:marLeft w:val="0"/>
                                      <w:marRight w:val="0"/>
                                      <w:marTop w:val="0"/>
                                      <w:marBottom w:val="0"/>
                                      <w:divBdr>
                                        <w:top w:val="none" w:sz="0" w:space="0" w:color="auto"/>
                                        <w:left w:val="none" w:sz="0" w:space="0" w:color="auto"/>
                                        <w:bottom w:val="none" w:sz="0" w:space="0" w:color="auto"/>
                                        <w:right w:val="none" w:sz="0" w:space="0" w:color="auto"/>
                                      </w:divBdr>
                                      <w:divsChild>
                                        <w:div w:id="1248660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0703056">
                                  <w:marLeft w:val="0"/>
                                  <w:marRight w:val="0"/>
                                  <w:marTop w:val="0"/>
                                  <w:marBottom w:val="0"/>
                                  <w:divBdr>
                                    <w:top w:val="none" w:sz="0" w:space="0" w:color="auto"/>
                                    <w:left w:val="none" w:sz="0" w:space="0" w:color="auto"/>
                                    <w:bottom w:val="none" w:sz="0" w:space="0" w:color="auto"/>
                                    <w:right w:val="none" w:sz="0" w:space="0" w:color="auto"/>
                                  </w:divBdr>
                                  <w:divsChild>
                                    <w:div w:id="1309436122">
                                      <w:marLeft w:val="0"/>
                                      <w:marRight w:val="0"/>
                                      <w:marTop w:val="0"/>
                                      <w:marBottom w:val="0"/>
                                      <w:divBdr>
                                        <w:top w:val="none" w:sz="0" w:space="0" w:color="auto"/>
                                        <w:left w:val="none" w:sz="0" w:space="0" w:color="auto"/>
                                        <w:bottom w:val="none" w:sz="0" w:space="0" w:color="auto"/>
                                        <w:right w:val="none" w:sz="0" w:space="0" w:color="auto"/>
                                      </w:divBdr>
                                      <w:divsChild>
                                        <w:div w:id="13145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366873">
                                  <w:marLeft w:val="0"/>
                                  <w:marRight w:val="0"/>
                                  <w:marTop w:val="0"/>
                                  <w:marBottom w:val="0"/>
                                  <w:divBdr>
                                    <w:top w:val="none" w:sz="0" w:space="0" w:color="auto"/>
                                    <w:left w:val="none" w:sz="0" w:space="0" w:color="auto"/>
                                    <w:bottom w:val="none" w:sz="0" w:space="0" w:color="auto"/>
                                    <w:right w:val="none" w:sz="0" w:space="0" w:color="auto"/>
                                  </w:divBdr>
                                  <w:divsChild>
                                    <w:div w:id="1841113552">
                                      <w:marLeft w:val="0"/>
                                      <w:marRight w:val="0"/>
                                      <w:marTop w:val="0"/>
                                      <w:marBottom w:val="0"/>
                                      <w:divBdr>
                                        <w:top w:val="none" w:sz="0" w:space="0" w:color="auto"/>
                                        <w:left w:val="none" w:sz="0" w:space="0" w:color="auto"/>
                                        <w:bottom w:val="none" w:sz="0" w:space="0" w:color="auto"/>
                                        <w:right w:val="none" w:sz="0" w:space="0" w:color="auto"/>
                                      </w:divBdr>
                                      <w:divsChild>
                                        <w:div w:id="1749569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280080">
                                  <w:marLeft w:val="0"/>
                                  <w:marRight w:val="0"/>
                                  <w:marTop w:val="0"/>
                                  <w:marBottom w:val="0"/>
                                  <w:divBdr>
                                    <w:top w:val="none" w:sz="0" w:space="0" w:color="auto"/>
                                    <w:left w:val="none" w:sz="0" w:space="0" w:color="auto"/>
                                    <w:bottom w:val="none" w:sz="0" w:space="0" w:color="auto"/>
                                    <w:right w:val="none" w:sz="0" w:space="0" w:color="auto"/>
                                  </w:divBdr>
                                  <w:divsChild>
                                    <w:div w:id="320081985">
                                      <w:marLeft w:val="0"/>
                                      <w:marRight w:val="0"/>
                                      <w:marTop w:val="0"/>
                                      <w:marBottom w:val="0"/>
                                      <w:divBdr>
                                        <w:top w:val="none" w:sz="0" w:space="0" w:color="auto"/>
                                        <w:left w:val="none" w:sz="0" w:space="0" w:color="auto"/>
                                        <w:bottom w:val="none" w:sz="0" w:space="0" w:color="auto"/>
                                        <w:right w:val="none" w:sz="0" w:space="0" w:color="auto"/>
                                      </w:divBdr>
                                      <w:divsChild>
                                        <w:div w:id="174658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2340955">
                                  <w:marLeft w:val="0"/>
                                  <w:marRight w:val="0"/>
                                  <w:marTop w:val="0"/>
                                  <w:marBottom w:val="0"/>
                                  <w:divBdr>
                                    <w:top w:val="none" w:sz="0" w:space="0" w:color="auto"/>
                                    <w:left w:val="none" w:sz="0" w:space="0" w:color="auto"/>
                                    <w:bottom w:val="none" w:sz="0" w:space="0" w:color="auto"/>
                                    <w:right w:val="none" w:sz="0" w:space="0" w:color="auto"/>
                                  </w:divBdr>
                                  <w:divsChild>
                                    <w:div w:id="437605239">
                                      <w:marLeft w:val="0"/>
                                      <w:marRight w:val="0"/>
                                      <w:marTop w:val="0"/>
                                      <w:marBottom w:val="0"/>
                                      <w:divBdr>
                                        <w:top w:val="none" w:sz="0" w:space="0" w:color="auto"/>
                                        <w:left w:val="none" w:sz="0" w:space="0" w:color="auto"/>
                                        <w:bottom w:val="none" w:sz="0" w:space="0" w:color="auto"/>
                                        <w:right w:val="none" w:sz="0" w:space="0" w:color="auto"/>
                                      </w:divBdr>
                                      <w:divsChild>
                                        <w:div w:id="1426463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076168">
                                  <w:marLeft w:val="0"/>
                                  <w:marRight w:val="0"/>
                                  <w:marTop w:val="0"/>
                                  <w:marBottom w:val="0"/>
                                  <w:divBdr>
                                    <w:top w:val="none" w:sz="0" w:space="0" w:color="auto"/>
                                    <w:left w:val="none" w:sz="0" w:space="0" w:color="auto"/>
                                    <w:bottom w:val="none" w:sz="0" w:space="0" w:color="auto"/>
                                    <w:right w:val="none" w:sz="0" w:space="0" w:color="auto"/>
                                  </w:divBdr>
                                  <w:divsChild>
                                    <w:div w:id="1966231501">
                                      <w:marLeft w:val="0"/>
                                      <w:marRight w:val="0"/>
                                      <w:marTop w:val="0"/>
                                      <w:marBottom w:val="0"/>
                                      <w:divBdr>
                                        <w:top w:val="none" w:sz="0" w:space="0" w:color="auto"/>
                                        <w:left w:val="none" w:sz="0" w:space="0" w:color="auto"/>
                                        <w:bottom w:val="none" w:sz="0" w:space="0" w:color="auto"/>
                                        <w:right w:val="none" w:sz="0" w:space="0" w:color="auto"/>
                                      </w:divBdr>
                                      <w:divsChild>
                                        <w:div w:id="73482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885634">
                                  <w:marLeft w:val="0"/>
                                  <w:marRight w:val="0"/>
                                  <w:marTop w:val="0"/>
                                  <w:marBottom w:val="0"/>
                                  <w:divBdr>
                                    <w:top w:val="none" w:sz="0" w:space="0" w:color="auto"/>
                                    <w:left w:val="none" w:sz="0" w:space="0" w:color="auto"/>
                                    <w:bottom w:val="none" w:sz="0" w:space="0" w:color="auto"/>
                                    <w:right w:val="none" w:sz="0" w:space="0" w:color="auto"/>
                                  </w:divBdr>
                                  <w:divsChild>
                                    <w:div w:id="531259769">
                                      <w:marLeft w:val="0"/>
                                      <w:marRight w:val="0"/>
                                      <w:marTop w:val="0"/>
                                      <w:marBottom w:val="0"/>
                                      <w:divBdr>
                                        <w:top w:val="none" w:sz="0" w:space="0" w:color="auto"/>
                                        <w:left w:val="none" w:sz="0" w:space="0" w:color="auto"/>
                                        <w:bottom w:val="none" w:sz="0" w:space="0" w:color="auto"/>
                                        <w:right w:val="none" w:sz="0" w:space="0" w:color="auto"/>
                                      </w:divBdr>
                                      <w:divsChild>
                                        <w:div w:id="1038236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121326">
                                  <w:marLeft w:val="0"/>
                                  <w:marRight w:val="0"/>
                                  <w:marTop w:val="0"/>
                                  <w:marBottom w:val="0"/>
                                  <w:divBdr>
                                    <w:top w:val="none" w:sz="0" w:space="0" w:color="auto"/>
                                    <w:left w:val="none" w:sz="0" w:space="0" w:color="auto"/>
                                    <w:bottom w:val="none" w:sz="0" w:space="0" w:color="auto"/>
                                    <w:right w:val="none" w:sz="0" w:space="0" w:color="auto"/>
                                  </w:divBdr>
                                  <w:divsChild>
                                    <w:div w:id="690761782">
                                      <w:marLeft w:val="0"/>
                                      <w:marRight w:val="0"/>
                                      <w:marTop w:val="0"/>
                                      <w:marBottom w:val="0"/>
                                      <w:divBdr>
                                        <w:top w:val="none" w:sz="0" w:space="0" w:color="auto"/>
                                        <w:left w:val="none" w:sz="0" w:space="0" w:color="auto"/>
                                        <w:bottom w:val="none" w:sz="0" w:space="0" w:color="auto"/>
                                        <w:right w:val="none" w:sz="0" w:space="0" w:color="auto"/>
                                      </w:divBdr>
                                      <w:divsChild>
                                        <w:div w:id="167668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491992">
                                  <w:marLeft w:val="0"/>
                                  <w:marRight w:val="0"/>
                                  <w:marTop w:val="0"/>
                                  <w:marBottom w:val="0"/>
                                  <w:divBdr>
                                    <w:top w:val="none" w:sz="0" w:space="0" w:color="auto"/>
                                    <w:left w:val="none" w:sz="0" w:space="0" w:color="auto"/>
                                    <w:bottom w:val="none" w:sz="0" w:space="0" w:color="auto"/>
                                    <w:right w:val="none" w:sz="0" w:space="0" w:color="auto"/>
                                  </w:divBdr>
                                  <w:divsChild>
                                    <w:div w:id="1395666778">
                                      <w:marLeft w:val="0"/>
                                      <w:marRight w:val="0"/>
                                      <w:marTop w:val="0"/>
                                      <w:marBottom w:val="0"/>
                                      <w:divBdr>
                                        <w:top w:val="none" w:sz="0" w:space="0" w:color="auto"/>
                                        <w:left w:val="none" w:sz="0" w:space="0" w:color="auto"/>
                                        <w:bottom w:val="none" w:sz="0" w:space="0" w:color="auto"/>
                                        <w:right w:val="none" w:sz="0" w:space="0" w:color="auto"/>
                                      </w:divBdr>
                                      <w:divsChild>
                                        <w:div w:id="97152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071256">
                                  <w:marLeft w:val="0"/>
                                  <w:marRight w:val="0"/>
                                  <w:marTop w:val="0"/>
                                  <w:marBottom w:val="0"/>
                                  <w:divBdr>
                                    <w:top w:val="none" w:sz="0" w:space="0" w:color="auto"/>
                                    <w:left w:val="none" w:sz="0" w:space="0" w:color="auto"/>
                                    <w:bottom w:val="none" w:sz="0" w:space="0" w:color="auto"/>
                                    <w:right w:val="none" w:sz="0" w:space="0" w:color="auto"/>
                                  </w:divBdr>
                                  <w:divsChild>
                                    <w:div w:id="1655179395">
                                      <w:marLeft w:val="0"/>
                                      <w:marRight w:val="0"/>
                                      <w:marTop w:val="0"/>
                                      <w:marBottom w:val="0"/>
                                      <w:divBdr>
                                        <w:top w:val="none" w:sz="0" w:space="0" w:color="auto"/>
                                        <w:left w:val="none" w:sz="0" w:space="0" w:color="auto"/>
                                        <w:bottom w:val="none" w:sz="0" w:space="0" w:color="auto"/>
                                        <w:right w:val="none" w:sz="0" w:space="0" w:color="auto"/>
                                      </w:divBdr>
                                      <w:divsChild>
                                        <w:div w:id="840969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9760051">
                                  <w:marLeft w:val="0"/>
                                  <w:marRight w:val="0"/>
                                  <w:marTop w:val="0"/>
                                  <w:marBottom w:val="0"/>
                                  <w:divBdr>
                                    <w:top w:val="none" w:sz="0" w:space="0" w:color="auto"/>
                                    <w:left w:val="none" w:sz="0" w:space="0" w:color="auto"/>
                                    <w:bottom w:val="none" w:sz="0" w:space="0" w:color="auto"/>
                                    <w:right w:val="none" w:sz="0" w:space="0" w:color="auto"/>
                                  </w:divBdr>
                                  <w:divsChild>
                                    <w:div w:id="2074890970">
                                      <w:marLeft w:val="0"/>
                                      <w:marRight w:val="0"/>
                                      <w:marTop w:val="0"/>
                                      <w:marBottom w:val="0"/>
                                      <w:divBdr>
                                        <w:top w:val="none" w:sz="0" w:space="0" w:color="auto"/>
                                        <w:left w:val="none" w:sz="0" w:space="0" w:color="auto"/>
                                        <w:bottom w:val="none" w:sz="0" w:space="0" w:color="auto"/>
                                        <w:right w:val="none" w:sz="0" w:space="0" w:color="auto"/>
                                      </w:divBdr>
                                      <w:divsChild>
                                        <w:div w:id="410196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353455">
                                  <w:marLeft w:val="0"/>
                                  <w:marRight w:val="0"/>
                                  <w:marTop w:val="0"/>
                                  <w:marBottom w:val="0"/>
                                  <w:divBdr>
                                    <w:top w:val="none" w:sz="0" w:space="0" w:color="auto"/>
                                    <w:left w:val="none" w:sz="0" w:space="0" w:color="auto"/>
                                    <w:bottom w:val="none" w:sz="0" w:space="0" w:color="auto"/>
                                    <w:right w:val="none" w:sz="0" w:space="0" w:color="auto"/>
                                  </w:divBdr>
                                  <w:divsChild>
                                    <w:div w:id="64186586">
                                      <w:marLeft w:val="0"/>
                                      <w:marRight w:val="0"/>
                                      <w:marTop w:val="0"/>
                                      <w:marBottom w:val="0"/>
                                      <w:divBdr>
                                        <w:top w:val="none" w:sz="0" w:space="0" w:color="auto"/>
                                        <w:left w:val="none" w:sz="0" w:space="0" w:color="auto"/>
                                        <w:bottom w:val="none" w:sz="0" w:space="0" w:color="auto"/>
                                        <w:right w:val="none" w:sz="0" w:space="0" w:color="auto"/>
                                      </w:divBdr>
                                      <w:divsChild>
                                        <w:div w:id="8041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900183">
                                  <w:marLeft w:val="0"/>
                                  <w:marRight w:val="0"/>
                                  <w:marTop w:val="0"/>
                                  <w:marBottom w:val="0"/>
                                  <w:divBdr>
                                    <w:top w:val="none" w:sz="0" w:space="0" w:color="auto"/>
                                    <w:left w:val="none" w:sz="0" w:space="0" w:color="auto"/>
                                    <w:bottom w:val="none" w:sz="0" w:space="0" w:color="auto"/>
                                    <w:right w:val="none" w:sz="0" w:space="0" w:color="auto"/>
                                  </w:divBdr>
                                  <w:divsChild>
                                    <w:div w:id="355430298">
                                      <w:marLeft w:val="0"/>
                                      <w:marRight w:val="0"/>
                                      <w:marTop w:val="0"/>
                                      <w:marBottom w:val="0"/>
                                      <w:divBdr>
                                        <w:top w:val="none" w:sz="0" w:space="0" w:color="auto"/>
                                        <w:left w:val="none" w:sz="0" w:space="0" w:color="auto"/>
                                        <w:bottom w:val="none" w:sz="0" w:space="0" w:color="auto"/>
                                        <w:right w:val="none" w:sz="0" w:space="0" w:color="auto"/>
                                      </w:divBdr>
                                      <w:divsChild>
                                        <w:div w:id="85492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404242">
                                  <w:marLeft w:val="0"/>
                                  <w:marRight w:val="0"/>
                                  <w:marTop w:val="0"/>
                                  <w:marBottom w:val="0"/>
                                  <w:divBdr>
                                    <w:top w:val="none" w:sz="0" w:space="0" w:color="auto"/>
                                    <w:left w:val="none" w:sz="0" w:space="0" w:color="auto"/>
                                    <w:bottom w:val="none" w:sz="0" w:space="0" w:color="auto"/>
                                    <w:right w:val="none" w:sz="0" w:space="0" w:color="auto"/>
                                  </w:divBdr>
                                  <w:divsChild>
                                    <w:div w:id="1142230198">
                                      <w:marLeft w:val="0"/>
                                      <w:marRight w:val="0"/>
                                      <w:marTop w:val="0"/>
                                      <w:marBottom w:val="0"/>
                                      <w:divBdr>
                                        <w:top w:val="none" w:sz="0" w:space="0" w:color="auto"/>
                                        <w:left w:val="none" w:sz="0" w:space="0" w:color="auto"/>
                                        <w:bottom w:val="none" w:sz="0" w:space="0" w:color="auto"/>
                                        <w:right w:val="none" w:sz="0" w:space="0" w:color="auto"/>
                                      </w:divBdr>
                                      <w:divsChild>
                                        <w:div w:id="1248074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1544">
                                  <w:marLeft w:val="0"/>
                                  <w:marRight w:val="0"/>
                                  <w:marTop w:val="0"/>
                                  <w:marBottom w:val="0"/>
                                  <w:divBdr>
                                    <w:top w:val="none" w:sz="0" w:space="0" w:color="auto"/>
                                    <w:left w:val="none" w:sz="0" w:space="0" w:color="auto"/>
                                    <w:bottom w:val="none" w:sz="0" w:space="0" w:color="auto"/>
                                    <w:right w:val="none" w:sz="0" w:space="0" w:color="auto"/>
                                  </w:divBdr>
                                  <w:divsChild>
                                    <w:div w:id="950009927">
                                      <w:marLeft w:val="0"/>
                                      <w:marRight w:val="0"/>
                                      <w:marTop w:val="0"/>
                                      <w:marBottom w:val="0"/>
                                      <w:divBdr>
                                        <w:top w:val="none" w:sz="0" w:space="0" w:color="auto"/>
                                        <w:left w:val="none" w:sz="0" w:space="0" w:color="auto"/>
                                        <w:bottom w:val="none" w:sz="0" w:space="0" w:color="auto"/>
                                        <w:right w:val="none" w:sz="0" w:space="0" w:color="auto"/>
                                      </w:divBdr>
                                      <w:divsChild>
                                        <w:div w:id="1168908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5204656">
                                  <w:marLeft w:val="0"/>
                                  <w:marRight w:val="0"/>
                                  <w:marTop w:val="0"/>
                                  <w:marBottom w:val="0"/>
                                  <w:divBdr>
                                    <w:top w:val="none" w:sz="0" w:space="0" w:color="auto"/>
                                    <w:left w:val="none" w:sz="0" w:space="0" w:color="auto"/>
                                    <w:bottom w:val="none" w:sz="0" w:space="0" w:color="auto"/>
                                    <w:right w:val="none" w:sz="0" w:space="0" w:color="auto"/>
                                  </w:divBdr>
                                  <w:divsChild>
                                    <w:div w:id="97414849">
                                      <w:marLeft w:val="0"/>
                                      <w:marRight w:val="0"/>
                                      <w:marTop w:val="0"/>
                                      <w:marBottom w:val="0"/>
                                      <w:divBdr>
                                        <w:top w:val="none" w:sz="0" w:space="0" w:color="auto"/>
                                        <w:left w:val="none" w:sz="0" w:space="0" w:color="auto"/>
                                        <w:bottom w:val="none" w:sz="0" w:space="0" w:color="auto"/>
                                        <w:right w:val="none" w:sz="0" w:space="0" w:color="auto"/>
                                      </w:divBdr>
                                      <w:divsChild>
                                        <w:div w:id="635526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371724">
                                  <w:marLeft w:val="0"/>
                                  <w:marRight w:val="0"/>
                                  <w:marTop w:val="0"/>
                                  <w:marBottom w:val="0"/>
                                  <w:divBdr>
                                    <w:top w:val="none" w:sz="0" w:space="0" w:color="auto"/>
                                    <w:left w:val="none" w:sz="0" w:space="0" w:color="auto"/>
                                    <w:bottom w:val="none" w:sz="0" w:space="0" w:color="auto"/>
                                    <w:right w:val="none" w:sz="0" w:space="0" w:color="auto"/>
                                  </w:divBdr>
                                  <w:divsChild>
                                    <w:div w:id="1753745389">
                                      <w:marLeft w:val="0"/>
                                      <w:marRight w:val="0"/>
                                      <w:marTop w:val="0"/>
                                      <w:marBottom w:val="0"/>
                                      <w:divBdr>
                                        <w:top w:val="none" w:sz="0" w:space="0" w:color="auto"/>
                                        <w:left w:val="none" w:sz="0" w:space="0" w:color="auto"/>
                                        <w:bottom w:val="none" w:sz="0" w:space="0" w:color="auto"/>
                                        <w:right w:val="none" w:sz="0" w:space="0" w:color="auto"/>
                                      </w:divBdr>
                                      <w:divsChild>
                                        <w:div w:id="40796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993224">
                                  <w:marLeft w:val="0"/>
                                  <w:marRight w:val="0"/>
                                  <w:marTop w:val="0"/>
                                  <w:marBottom w:val="0"/>
                                  <w:divBdr>
                                    <w:top w:val="none" w:sz="0" w:space="0" w:color="auto"/>
                                    <w:left w:val="none" w:sz="0" w:space="0" w:color="auto"/>
                                    <w:bottom w:val="none" w:sz="0" w:space="0" w:color="auto"/>
                                    <w:right w:val="none" w:sz="0" w:space="0" w:color="auto"/>
                                  </w:divBdr>
                                  <w:divsChild>
                                    <w:div w:id="516044184">
                                      <w:marLeft w:val="0"/>
                                      <w:marRight w:val="0"/>
                                      <w:marTop w:val="0"/>
                                      <w:marBottom w:val="0"/>
                                      <w:divBdr>
                                        <w:top w:val="none" w:sz="0" w:space="0" w:color="auto"/>
                                        <w:left w:val="none" w:sz="0" w:space="0" w:color="auto"/>
                                        <w:bottom w:val="none" w:sz="0" w:space="0" w:color="auto"/>
                                        <w:right w:val="none" w:sz="0" w:space="0" w:color="auto"/>
                                      </w:divBdr>
                                      <w:divsChild>
                                        <w:div w:id="58939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175421">
                                  <w:marLeft w:val="0"/>
                                  <w:marRight w:val="0"/>
                                  <w:marTop w:val="0"/>
                                  <w:marBottom w:val="0"/>
                                  <w:divBdr>
                                    <w:top w:val="none" w:sz="0" w:space="0" w:color="auto"/>
                                    <w:left w:val="none" w:sz="0" w:space="0" w:color="auto"/>
                                    <w:bottom w:val="none" w:sz="0" w:space="0" w:color="auto"/>
                                    <w:right w:val="none" w:sz="0" w:space="0" w:color="auto"/>
                                  </w:divBdr>
                                  <w:divsChild>
                                    <w:div w:id="2114281216">
                                      <w:marLeft w:val="0"/>
                                      <w:marRight w:val="0"/>
                                      <w:marTop w:val="0"/>
                                      <w:marBottom w:val="0"/>
                                      <w:divBdr>
                                        <w:top w:val="none" w:sz="0" w:space="0" w:color="auto"/>
                                        <w:left w:val="none" w:sz="0" w:space="0" w:color="auto"/>
                                        <w:bottom w:val="none" w:sz="0" w:space="0" w:color="auto"/>
                                        <w:right w:val="none" w:sz="0" w:space="0" w:color="auto"/>
                                      </w:divBdr>
                                      <w:divsChild>
                                        <w:div w:id="9074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8140">
                                  <w:marLeft w:val="0"/>
                                  <w:marRight w:val="0"/>
                                  <w:marTop w:val="0"/>
                                  <w:marBottom w:val="0"/>
                                  <w:divBdr>
                                    <w:top w:val="none" w:sz="0" w:space="0" w:color="auto"/>
                                    <w:left w:val="none" w:sz="0" w:space="0" w:color="auto"/>
                                    <w:bottom w:val="none" w:sz="0" w:space="0" w:color="auto"/>
                                    <w:right w:val="none" w:sz="0" w:space="0" w:color="auto"/>
                                  </w:divBdr>
                                  <w:divsChild>
                                    <w:div w:id="287905361">
                                      <w:marLeft w:val="0"/>
                                      <w:marRight w:val="0"/>
                                      <w:marTop w:val="0"/>
                                      <w:marBottom w:val="0"/>
                                      <w:divBdr>
                                        <w:top w:val="none" w:sz="0" w:space="0" w:color="auto"/>
                                        <w:left w:val="none" w:sz="0" w:space="0" w:color="auto"/>
                                        <w:bottom w:val="none" w:sz="0" w:space="0" w:color="auto"/>
                                        <w:right w:val="none" w:sz="0" w:space="0" w:color="auto"/>
                                      </w:divBdr>
                                      <w:divsChild>
                                        <w:div w:id="1977712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079113">
                                  <w:marLeft w:val="0"/>
                                  <w:marRight w:val="0"/>
                                  <w:marTop w:val="0"/>
                                  <w:marBottom w:val="0"/>
                                  <w:divBdr>
                                    <w:top w:val="none" w:sz="0" w:space="0" w:color="auto"/>
                                    <w:left w:val="none" w:sz="0" w:space="0" w:color="auto"/>
                                    <w:bottom w:val="none" w:sz="0" w:space="0" w:color="auto"/>
                                    <w:right w:val="none" w:sz="0" w:space="0" w:color="auto"/>
                                  </w:divBdr>
                                  <w:divsChild>
                                    <w:div w:id="139343406">
                                      <w:marLeft w:val="0"/>
                                      <w:marRight w:val="0"/>
                                      <w:marTop w:val="0"/>
                                      <w:marBottom w:val="0"/>
                                      <w:divBdr>
                                        <w:top w:val="none" w:sz="0" w:space="0" w:color="auto"/>
                                        <w:left w:val="none" w:sz="0" w:space="0" w:color="auto"/>
                                        <w:bottom w:val="none" w:sz="0" w:space="0" w:color="auto"/>
                                        <w:right w:val="none" w:sz="0" w:space="0" w:color="auto"/>
                                      </w:divBdr>
                                      <w:divsChild>
                                        <w:div w:id="457382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3159457">
                                  <w:marLeft w:val="0"/>
                                  <w:marRight w:val="0"/>
                                  <w:marTop w:val="0"/>
                                  <w:marBottom w:val="0"/>
                                  <w:divBdr>
                                    <w:top w:val="none" w:sz="0" w:space="0" w:color="auto"/>
                                    <w:left w:val="none" w:sz="0" w:space="0" w:color="auto"/>
                                    <w:bottom w:val="none" w:sz="0" w:space="0" w:color="auto"/>
                                    <w:right w:val="none" w:sz="0" w:space="0" w:color="auto"/>
                                  </w:divBdr>
                                  <w:divsChild>
                                    <w:div w:id="1907376283">
                                      <w:marLeft w:val="0"/>
                                      <w:marRight w:val="0"/>
                                      <w:marTop w:val="0"/>
                                      <w:marBottom w:val="0"/>
                                      <w:divBdr>
                                        <w:top w:val="none" w:sz="0" w:space="0" w:color="auto"/>
                                        <w:left w:val="none" w:sz="0" w:space="0" w:color="auto"/>
                                        <w:bottom w:val="none" w:sz="0" w:space="0" w:color="auto"/>
                                        <w:right w:val="none" w:sz="0" w:space="0" w:color="auto"/>
                                      </w:divBdr>
                                      <w:divsChild>
                                        <w:div w:id="204813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554613">
                                  <w:marLeft w:val="0"/>
                                  <w:marRight w:val="0"/>
                                  <w:marTop w:val="0"/>
                                  <w:marBottom w:val="0"/>
                                  <w:divBdr>
                                    <w:top w:val="none" w:sz="0" w:space="0" w:color="auto"/>
                                    <w:left w:val="none" w:sz="0" w:space="0" w:color="auto"/>
                                    <w:bottom w:val="none" w:sz="0" w:space="0" w:color="auto"/>
                                    <w:right w:val="none" w:sz="0" w:space="0" w:color="auto"/>
                                  </w:divBdr>
                                  <w:divsChild>
                                    <w:div w:id="1498770944">
                                      <w:marLeft w:val="0"/>
                                      <w:marRight w:val="0"/>
                                      <w:marTop w:val="0"/>
                                      <w:marBottom w:val="0"/>
                                      <w:divBdr>
                                        <w:top w:val="none" w:sz="0" w:space="0" w:color="auto"/>
                                        <w:left w:val="none" w:sz="0" w:space="0" w:color="auto"/>
                                        <w:bottom w:val="none" w:sz="0" w:space="0" w:color="auto"/>
                                        <w:right w:val="none" w:sz="0" w:space="0" w:color="auto"/>
                                      </w:divBdr>
                                      <w:divsChild>
                                        <w:div w:id="8792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046239">
                                  <w:marLeft w:val="0"/>
                                  <w:marRight w:val="0"/>
                                  <w:marTop w:val="0"/>
                                  <w:marBottom w:val="0"/>
                                  <w:divBdr>
                                    <w:top w:val="none" w:sz="0" w:space="0" w:color="auto"/>
                                    <w:left w:val="none" w:sz="0" w:space="0" w:color="auto"/>
                                    <w:bottom w:val="none" w:sz="0" w:space="0" w:color="auto"/>
                                    <w:right w:val="none" w:sz="0" w:space="0" w:color="auto"/>
                                  </w:divBdr>
                                  <w:divsChild>
                                    <w:div w:id="844246183">
                                      <w:marLeft w:val="0"/>
                                      <w:marRight w:val="0"/>
                                      <w:marTop w:val="0"/>
                                      <w:marBottom w:val="0"/>
                                      <w:divBdr>
                                        <w:top w:val="none" w:sz="0" w:space="0" w:color="auto"/>
                                        <w:left w:val="none" w:sz="0" w:space="0" w:color="auto"/>
                                        <w:bottom w:val="none" w:sz="0" w:space="0" w:color="auto"/>
                                        <w:right w:val="none" w:sz="0" w:space="0" w:color="auto"/>
                                      </w:divBdr>
                                      <w:divsChild>
                                        <w:div w:id="156987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305195">
                                  <w:marLeft w:val="0"/>
                                  <w:marRight w:val="0"/>
                                  <w:marTop w:val="0"/>
                                  <w:marBottom w:val="0"/>
                                  <w:divBdr>
                                    <w:top w:val="none" w:sz="0" w:space="0" w:color="auto"/>
                                    <w:left w:val="none" w:sz="0" w:space="0" w:color="auto"/>
                                    <w:bottom w:val="none" w:sz="0" w:space="0" w:color="auto"/>
                                    <w:right w:val="none" w:sz="0" w:space="0" w:color="auto"/>
                                  </w:divBdr>
                                  <w:divsChild>
                                    <w:div w:id="43020810">
                                      <w:marLeft w:val="0"/>
                                      <w:marRight w:val="0"/>
                                      <w:marTop w:val="0"/>
                                      <w:marBottom w:val="0"/>
                                      <w:divBdr>
                                        <w:top w:val="none" w:sz="0" w:space="0" w:color="auto"/>
                                        <w:left w:val="none" w:sz="0" w:space="0" w:color="auto"/>
                                        <w:bottom w:val="none" w:sz="0" w:space="0" w:color="auto"/>
                                        <w:right w:val="none" w:sz="0" w:space="0" w:color="auto"/>
                                      </w:divBdr>
                                      <w:divsChild>
                                        <w:div w:id="1343242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367993">
                                  <w:marLeft w:val="0"/>
                                  <w:marRight w:val="0"/>
                                  <w:marTop w:val="0"/>
                                  <w:marBottom w:val="0"/>
                                  <w:divBdr>
                                    <w:top w:val="none" w:sz="0" w:space="0" w:color="auto"/>
                                    <w:left w:val="none" w:sz="0" w:space="0" w:color="auto"/>
                                    <w:bottom w:val="none" w:sz="0" w:space="0" w:color="auto"/>
                                    <w:right w:val="none" w:sz="0" w:space="0" w:color="auto"/>
                                  </w:divBdr>
                                  <w:divsChild>
                                    <w:div w:id="334651243">
                                      <w:marLeft w:val="0"/>
                                      <w:marRight w:val="0"/>
                                      <w:marTop w:val="0"/>
                                      <w:marBottom w:val="0"/>
                                      <w:divBdr>
                                        <w:top w:val="none" w:sz="0" w:space="0" w:color="auto"/>
                                        <w:left w:val="none" w:sz="0" w:space="0" w:color="auto"/>
                                        <w:bottom w:val="none" w:sz="0" w:space="0" w:color="auto"/>
                                        <w:right w:val="none" w:sz="0" w:space="0" w:color="auto"/>
                                      </w:divBdr>
                                      <w:divsChild>
                                        <w:div w:id="1634825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115377">
                                  <w:marLeft w:val="0"/>
                                  <w:marRight w:val="0"/>
                                  <w:marTop w:val="0"/>
                                  <w:marBottom w:val="0"/>
                                  <w:divBdr>
                                    <w:top w:val="none" w:sz="0" w:space="0" w:color="auto"/>
                                    <w:left w:val="none" w:sz="0" w:space="0" w:color="auto"/>
                                    <w:bottom w:val="none" w:sz="0" w:space="0" w:color="auto"/>
                                    <w:right w:val="none" w:sz="0" w:space="0" w:color="auto"/>
                                  </w:divBdr>
                                  <w:divsChild>
                                    <w:div w:id="369188117">
                                      <w:marLeft w:val="0"/>
                                      <w:marRight w:val="0"/>
                                      <w:marTop w:val="0"/>
                                      <w:marBottom w:val="0"/>
                                      <w:divBdr>
                                        <w:top w:val="none" w:sz="0" w:space="0" w:color="auto"/>
                                        <w:left w:val="none" w:sz="0" w:space="0" w:color="auto"/>
                                        <w:bottom w:val="none" w:sz="0" w:space="0" w:color="auto"/>
                                        <w:right w:val="none" w:sz="0" w:space="0" w:color="auto"/>
                                      </w:divBdr>
                                      <w:divsChild>
                                        <w:div w:id="16675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9990">
                                  <w:marLeft w:val="0"/>
                                  <w:marRight w:val="0"/>
                                  <w:marTop w:val="0"/>
                                  <w:marBottom w:val="0"/>
                                  <w:divBdr>
                                    <w:top w:val="none" w:sz="0" w:space="0" w:color="auto"/>
                                    <w:left w:val="none" w:sz="0" w:space="0" w:color="auto"/>
                                    <w:bottom w:val="none" w:sz="0" w:space="0" w:color="auto"/>
                                    <w:right w:val="none" w:sz="0" w:space="0" w:color="auto"/>
                                  </w:divBdr>
                                  <w:divsChild>
                                    <w:div w:id="686953584">
                                      <w:marLeft w:val="0"/>
                                      <w:marRight w:val="0"/>
                                      <w:marTop w:val="0"/>
                                      <w:marBottom w:val="0"/>
                                      <w:divBdr>
                                        <w:top w:val="none" w:sz="0" w:space="0" w:color="auto"/>
                                        <w:left w:val="none" w:sz="0" w:space="0" w:color="auto"/>
                                        <w:bottom w:val="none" w:sz="0" w:space="0" w:color="auto"/>
                                        <w:right w:val="none" w:sz="0" w:space="0" w:color="auto"/>
                                      </w:divBdr>
                                      <w:divsChild>
                                        <w:div w:id="743919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575034">
                                  <w:marLeft w:val="0"/>
                                  <w:marRight w:val="0"/>
                                  <w:marTop w:val="0"/>
                                  <w:marBottom w:val="0"/>
                                  <w:divBdr>
                                    <w:top w:val="none" w:sz="0" w:space="0" w:color="auto"/>
                                    <w:left w:val="none" w:sz="0" w:space="0" w:color="auto"/>
                                    <w:bottom w:val="none" w:sz="0" w:space="0" w:color="auto"/>
                                    <w:right w:val="none" w:sz="0" w:space="0" w:color="auto"/>
                                  </w:divBdr>
                                  <w:divsChild>
                                    <w:div w:id="254169148">
                                      <w:marLeft w:val="0"/>
                                      <w:marRight w:val="0"/>
                                      <w:marTop w:val="0"/>
                                      <w:marBottom w:val="0"/>
                                      <w:divBdr>
                                        <w:top w:val="none" w:sz="0" w:space="0" w:color="auto"/>
                                        <w:left w:val="none" w:sz="0" w:space="0" w:color="auto"/>
                                        <w:bottom w:val="none" w:sz="0" w:space="0" w:color="auto"/>
                                        <w:right w:val="none" w:sz="0" w:space="0" w:color="auto"/>
                                      </w:divBdr>
                                      <w:divsChild>
                                        <w:div w:id="132528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561351">
                                  <w:marLeft w:val="0"/>
                                  <w:marRight w:val="0"/>
                                  <w:marTop w:val="0"/>
                                  <w:marBottom w:val="0"/>
                                  <w:divBdr>
                                    <w:top w:val="none" w:sz="0" w:space="0" w:color="auto"/>
                                    <w:left w:val="none" w:sz="0" w:space="0" w:color="auto"/>
                                    <w:bottom w:val="none" w:sz="0" w:space="0" w:color="auto"/>
                                    <w:right w:val="none" w:sz="0" w:space="0" w:color="auto"/>
                                  </w:divBdr>
                                  <w:divsChild>
                                    <w:div w:id="1368988078">
                                      <w:marLeft w:val="0"/>
                                      <w:marRight w:val="0"/>
                                      <w:marTop w:val="0"/>
                                      <w:marBottom w:val="0"/>
                                      <w:divBdr>
                                        <w:top w:val="none" w:sz="0" w:space="0" w:color="auto"/>
                                        <w:left w:val="none" w:sz="0" w:space="0" w:color="auto"/>
                                        <w:bottom w:val="none" w:sz="0" w:space="0" w:color="auto"/>
                                        <w:right w:val="none" w:sz="0" w:space="0" w:color="auto"/>
                                      </w:divBdr>
                                      <w:divsChild>
                                        <w:div w:id="211871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267192">
                                  <w:marLeft w:val="0"/>
                                  <w:marRight w:val="0"/>
                                  <w:marTop w:val="0"/>
                                  <w:marBottom w:val="0"/>
                                  <w:divBdr>
                                    <w:top w:val="none" w:sz="0" w:space="0" w:color="auto"/>
                                    <w:left w:val="none" w:sz="0" w:space="0" w:color="auto"/>
                                    <w:bottom w:val="none" w:sz="0" w:space="0" w:color="auto"/>
                                    <w:right w:val="none" w:sz="0" w:space="0" w:color="auto"/>
                                  </w:divBdr>
                                  <w:divsChild>
                                    <w:div w:id="2008357701">
                                      <w:marLeft w:val="0"/>
                                      <w:marRight w:val="0"/>
                                      <w:marTop w:val="0"/>
                                      <w:marBottom w:val="0"/>
                                      <w:divBdr>
                                        <w:top w:val="none" w:sz="0" w:space="0" w:color="auto"/>
                                        <w:left w:val="none" w:sz="0" w:space="0" w:color="auto"/>
                                        <w:bottom w:val="none" w:sz="0" w:space="0" w:color="auto"/>
                                        <w:right w:val="none" w:sz="0" w:space="0" w:color="auto"/>
                                      </w:divBdr>
                                      <w:divsChild>
                                        <w:div w:id="81213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038765">
                                  <w:marLeft w:val="0"/>
                                  <w:marRight w:val="0"/>
                                  <w:marTop w:val="0"/>
                                  <w:marBottom w:val="0"/>
                                  <w:divBdr>
                                    <w:top w:val="none" w:sz="0" w:space="0" w:color="auto"/>
                                    <w:left w:val="none" w:sz="0" w:space="0" w:color="auto"/>
                                    <w:bottom w:val="none" w:sz="0" w:space="0" w:color="auto"/>
                                    <w:right w:val="none" w:sz="0" w:space="0" w:color="auto"/>
                                  </w:divBdr>
                                  <w:divsChild>
                                    <w:div w:id="1101342654">
                                      <w:marLeft w:val="0"/>
                                      <w:marRight w:val="0"/>
                                      <w:marTop w:val="0"/>
                                      <w:marBottom w:val="0"/>
                                      <w:divBdr>
                                        <w:top w:val="none" w:sz="0" w:space="0" w:color="auto"/>
                                        <w:left w:val="none" w:sz="0" w:space="0" w:color="auto"/>
                                        <w:bottom w:val="none" w:sz="0" w:space="0" w:color="auto"/>
                                        <w:right w:val="none" w:sz="0" w:space="0" w:color="auto"/>
                                      </w:divBdr>
                                      <w:divsChild>
                                        <w:div w:id="1249382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767111">
                                  <w:marLeft w:val="0"/>
                                  <w:marRight w:val="0"/>
                                  <w:marTop w:val="0"/>
                                  <w:marBottom w:val="0"/>
                                  <w:divBdr>
                                    <w:top w:val="none" w:sz="0" w:space="0" w:color="auto"/>
                                    <w:left w:val="none" w:sz="0" w:space="0" w:color="auto"/>
                                    <w:bottom w:val="none" w:sz="0" w:space="0" w:color="auto"/>
                                    <w:right w:val="none" w:sz="0" w:space="0" w:color="auto"/>
                                  </w:divBdr>
                                  <w:divsChild>
                                    <w:div w:id="1080953124">
                                      <w:marLeft w:val="0"/>
                                      <w:marRight w:val="0"/>
                                      <w:marTop w:val="0"/>
                                      <w:marBottom w:val="0"/>
                                      <w:divBdr>
                                        <w:top w:val="none" w:sz="0" w:space="0" w:color="auto"/>
                                        <w:left w:val="none" w:sz="0" w:space="0" w:color="auto"/>
                                        <w:bottom w:val="none" w:sz="0" w:space="0" w:color="auto"/>
                                        <w:right w:val="none" w:sz="0" w:space="0" w:color="auto"/>
                                      </w:divBdr>
                                      <w:divsChild>
                                        <w:div w:id="193871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720069">
                                  <w:marLeft w:val="0"/>
                                  <w:marRight w:val="0"/>
                                  <w:marTop w:val="0"/>
                                  <w:marBottom w:val="0"/>
                                  <w:divBdr>
                                    <w:top w:val="none" w:sz="0" w:space="0" w:color="auto"/>
                                    <w:left w:val="none" w:sz="0" w:space="0" w:color="auto"/>
                                    <w:bottom w:val="none" w:sz="0" w:space="0" w:color="auto"/>
                                    <w:right w:val="none" w:sz="0" w:space="0" w:color="auto"/>
                                  </w:divBdr>
                                  <w:divsChild>
                                    <w:div w:id="1704748941">
                                      <w:marLeft w:val="0"/>
                                      <w:marRight w:val="0"/>
                                      <w:marTop w:val="0"/>
                                      <w:marBottom w:val="0"/>
                                      <w:divBdr>
                                        <w:top w:val="none" w:sz="0" w:space="0" w:color="auto"/>
                                        <w:left w:val="none" w:sz="0" w:space="0" w:color="auto"/>
                                        <w:bottom w:val="none" w:sz="0" w:space="0" w:color="auto"/>
                                        <w:right w:val="none" w:sz="0" w:space="0" w:color="auto"/>
                                      </w:divBdr>
                                      <w:divsChild>
                                        <w:div w:id="463080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2184486">
                                  <w:marLeft w:val="0"/>
                                  <w:marRight w:val="0"/>
                                  <w:marTop w:val="0"/>
                                  <w:marBottom w:val="0"/>
                                  <w:divBdr>
                                    <w:top w:val="none" w:sz="0" w:space="0" w:color="auto"/>
                                    <w:left w:val="none" w:sz="0" w:space="0" w:color="auto"/>
                                    <w:bottom w:val="none" w:sz="0" w:space="0" w:color="auto"/>
                                    <w:right w:val="none" w:sz="0" w:space="0" w:color="auto"/>
                                  </w:divBdr>
                                  <w:divsChild>
                                    <w:div w:id="148209337">
                                      <w:marLeft w:val="0"/>
                                      <w:marRight w:val="0"/>
                                      <w:marTop w:val="0"/>
                                      <w:marBottom w:val="0"/>
                                      <w:divBdr>
                                        <w:top w:val="none" w:sz="0" w:space="0" w:color="auto"/>
                                        <w:left w:val="none" w:sz="0" w:space="0" w:color="auto"/>
                                        <w:bottom w:val="none" w:sz="0" w:space="0" w:color="auto"/>
                                        <w:right w:val="none" w:sz="0" w:space="0" w:color="auto"/>
                                      </w:divBdr>
                                      <w:divsChild>
                                        <w:div w:id="121265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16690">
                                  <w:marLeft w:val="0"/>
                                  <w:marRight w:val="0"/>
                                  <w:marTop w:val="0"/>
                                  <w:marBottom w:val="0"/>
                                  <w:divBdr>
                                    <w:top w:val="none" w:sz="0" w:space="0" w:color="auto"/>
                                    <w:left w:val="none" w:sz="0" w:space="0" w:color="auto"/>
                                    <w:bottom w:val="none" w:sz="0" w:space="0" w:color="auto"/>
                                    <w:right w:val="none" w:sz="0" w:space="0" w:color="auto"/>
                                  </w:divBdr>
                                  <w:divsChild>
                                    <w:div w:id="1969818936">
                                      <w:marLeft w:val="0"/>
                                      <w:marRight w:val="0"/>
                                      <w:marTop w:val="0"/>
                                      <w:marBottom w:val="0"/>
                                      <w:divBdr>
                                        <w:top w:val="none" w:sz="0" w:space="0" w:color="auto"/>
                                        <w:left w:val="none" w:sz="0" w:space="0" w:color="auto"/>
                                        <w:bottom w:val="none" w:sz="0" w:space="0" w:color="auto"/>
                                        <w:right w:val="none" w:sz="0" w:space="0" w:color="auto"/>
                                      </w:divBdr>
                                      <w:divsChild>
                                        <w:div w:id="1813399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63466">
                                  <w:marLeft w:val="0"/>
                                  <w:marRight w:val="0"/>
                                  <w:marTop w:val="0"/>
                                  <w:marBottom w:val="0"/>
                                  <w:divBdr>
                                    <w:top w:val="none" w:sz="0" w:space="0" w:color="auto"/>
                                    <w:left w:val="none" w:sz="0" w:space="0" w:color="auto"/>
                                    <w:bottom w:val="none" w:sz="0" w:space="0" w:color="auto"/>
                                    <w:right w:val="none" w:sz="0" w:space="0" w:color="auto"/>
                                  </w:divBdr>
                                  <w:divsChild>
                                    <w:div w:id="1100568260">
                                      <w:marLeft w:val="0"/>
                                      <w:marRight w:val="0"/>
                                      <w:marTop w:val="0"/>
                                      <w:marBottom w:val="0"/>
                                      <w:divBdr>
                                        <w:top w:val="none" w:sz="0" w:space="0" w:color="auto"/>
                                        <w:left w:val="none" w:sz="0" w:space="0" w:color="auto"/>
                                        <w:bottom w:val="none" w:sz="0" w:space="0" w:color="auto"/>
                                        <w:right w:val="none" w:sz="0" w:space="0" w:color="auto"/>
                                      </w:divBdr>
                                      <w:divsChild>
                                        <w:div w:id="114789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107742">
                                  <w:marLeft w:val="0"/>
                                  <w:marRight w:val="0"/>
                                  <w:marTop w:val="0"/>
                                  <w:marBottom w:val="0"/>
                                  <w:divBdr>
                                    <w:top w:val="none" w:sz="0" w:space="0" w:color="auto"/>
                                    <w:left w:val="none" w:sz="0" w:space="0" w:color="auto"/>
                                    <w:bottom w:val="none" w:sz="0" w:space="0" w:color="auto"/>
                                    <w:right w:val="none" w:sz="0" w:space="0" w:color="auto"/>
                                  </w:divBdr>
                                  <w:divsChild>
                                    <w:div w:id="283771365">
                                      <w:marLeft w:val="0"/>
                                      <w:marRight w:val="0"/>
                                      <w:marTop w:val="0"/>
                                      <w:marBottom w:val="0"/>
                                      <w:divBdr>
                                        <w:top w:val="none" w:sz="0" w:space="0" w:color="auto"/>
                                        <w:left w:val="none" w:sz="0" w:space="0" w:color="auto"/>
                                        <w:bottom w:val="none" w:sz="0" w:space="0" w:color="auto"/>
                                        <w:right w:val="none" w:sz="0" w:space="0" w:color="auto"/>
                                      </w:divBdr>
                                      <w:divsChild>
                                        <w:div w:id="131664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4858732">
                                  <w:marLeft w:val="0"/>
                                  <w:marRight w:val="0"/>
                                  <w:marTop w:val="0"/>
                                  <w:marBottom w:val="0"/>
                                  <w:divBdr>
                                    <w:top w:val="none" w:sz="0" w:space="0" w:color="auto"/>
                                    <w:left w:val="none" w:sz="0" w:space="0" w:color="auto"/>
                                    <w:bottom w:val="none" w:sz="0" w:space="0" w:color="auto"/>
                                    <w:right w:val="none" w:sz="0" w:space="0" w:color="auto"/>
                                  </w:divBdr>
                                  <w:divsChild>
                                    <w:div w:id="1628395107">
                                      <w:marLeft w:val="0"/>
                                      <w:marRight w:val="0"/>
                                      <w:marTop w:val="0"/>
                                      <w:marBottom w:val="0"/>
                                      <w:divBdr>
                                        <w:top w:val="none" w:sz="0" w:space="0" w:color="auto"/>
                                        <w:left w:val="none" w:sz="0" w:space="0" w:color="auto"/>
                                        <w:bottom w:val="none" w:sz="0" w:space="0" w:color="auto"/>
                                        <w:right w:val="none" w:sz="0" w:space="0" w:color="auto"/>
                                      </w:divBdr>
                                      <w:divsChild>
                                        <w:div w:id="151730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3903877">
                                  <w:marLeft w:val="0"/>
                                  <w:marRight w:val="0"/>
                                  <w:marTop w:val="0"/>
                                  <w:marBottom w:val="0"/>
                                  <w:divBdr>
                                    <w:top w:val="none" w:sz="0" w:space="0" w:color="auto"/>
                                    <w:left w:val="none" w:sz="0" w:space="0" w:color="auto"/>
                                    <w:bottom w:val="none" w:sz="0" w:space="0" w:color="auto"/>
                                    <w:right w:val="none" w:sz="0" w:space="0" w:color="auto"/>
                                  </w:divBdr>
                                  <w:divsChild>
                                    <w:div w:id="374740538">
                                      <w:marLeft w:val="0"/>
                                      <w:marRight w:val="0"/>
                                      <w:marTop w:val="0"/>
                                      <w:marBottom w:val="0"/>
                                      <w:divBdr>
                                        <w:top w:val="none" w:sz="0" w:space="0" w:color="auto"/>
                                        <w:left w:val="none" w:sz="0" w:space="0" w:color="auto"/>
                                        <w:bottom w:val="none" w:sz="0" w:space="0" w:color="auto"/>
                                        <w:right w:val="none" w:sz="0" w:space="0" w:color="auto"/>
                                      </w:divBdr>
                                      <w:divsChild>
                                        <w:div w:id="1367366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89341">
                                  <w:marLeft w:val="0"/>
                                  <w:marRight w:val="0"/>
                                  <w:marTop w:val="0"/>
                                  <w:marBottom w:val="0"/>
                                  <w:divBdr>
                                    <w:top w:val="none" w:sz="0" w:space="0" w:color="auto"/>
                                    <w:left w:val="none" w:sz="0" w:space="0" w:color="auto"/>
                                    <w:bottom w:val="none" w:sz="0" w:space="0" w:color="auto"/>
                                    <w:right w:val="none" w:sz="0" w:space="0" w:color="auto"/>
                                  </w:divBdr>
                                  <w:divsChild>
                                    <w:div w:id="1923681005">
                                      <w:marLeft w:val="0"/>
                                      <w:marRight w:val="0"/>
                                      <w:marTop w:val="0"/>
                                      <w:marBottom w:val="0"/>
                                      <w:divBdr>
                                        <w:top w:val="none" w:sz="0" w:space="0" w:color="auto"/>
                                        <w:left w:val="none" w:sz="0" w:space="0" w:color="auto"/>
                                        <w:bottom w:val="none" w:sz="0" w:space="0" w:color="auto"/>
                                        <w:right w:val="none" w:sz="0" w:space="0" w:color="auto"/>
                                      </w:divBdr>
                                      <w:divsChild>
                                        <w:div w:id="15462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7835098">
                                  <w:marLeft w:val="0"/>
                                  <w:marRight w:val="0"/>
                                  <w:marTop w:val="0"/>
                                  <w:marBottom w:val="0"/>
                                  <w:divBdr>
                                    <w:top w:val="none" w:sz="0" w:space="0" w:color="auto"/>
                                    <w:left w:val="none" w:sz="0" w:space="0" w:color="auto"/>
                                    <w:bottom w:val="none" w:sz="0" w:space="0" w:color="auto"/>
                                    <w:right w:val="none" w:sz="0" w:space="0" w:color="auto"/>
                                  </w:divBdr>
                                  <w:divsChild>
                                    <w:div w:id="1508132720">
                                      <w:marLeft w:val="0"/>
                                      <w:marRight w:val="0"/>
                                      <w:marTop w:val="0"/>
                                      <w:marBottom w:val="0"/>
                                      <w:divBdr>
                                        <w:top w:val="none" w:sz="0" w:space="0" w:color="auto"/>
                                        <w:left w:val="none" w:sz="0" w:space="0" w:color="auto"/>
                                        <w:bottom w:val="none" w:sz="0" w:space="0" w:color="auto"/>
                                        <w:right w:val="none" w:sz="0" w:space="0" w:color="auto"/>
                                      </w:divBdr>
                                      <w:divsChild>
                                        <w:div w:id="1655186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175312">
                                  <w:marLeft w:val="0"/>
                                  <w:marRight w:val="0"/>
                                  <w:marTop w:val="0"/>
                                  <w:marBottom w:val="0"/>
                                  <w:divBdr>
                                    <w:top w:val="none" w:sz="0" w:space="0" w:color="auto"/>
                                    <w:left w:val="none" w:sz="0" w:space="0" w:color="auto"/>
                                    <w:bottom w:val="none" w:sz="0" w:space="0" w:color="auto"/>
                                    <w:right w:val="none" w:sz="0" w:space="0" w:color="auto"/>
                                  </w:divBdr>
                                  <w:divsChild>
                                    <w:div w:id="1693608325">
                                      <w:marLeft w:val="0"/>
                                      <w:marRight w:val="0"/>
                                      <w:marTop w:val="0"/>
                                      <w:marBottom w:val="0"/>
                                      <w:divBdr>
                                        <w:top w:val="none" w:sz="0" w:space="0" w:color="auto"/>
                                        <w:left w:val="none" w:sz="0" w:space="0" w:color="auto"/>
                                        <w:bottom w:val="none" w:sz="0" w:space="0" w:color="auto"/>
                                        <w:right w:val="none" w:sz="0" w:space="0" w:color="auto"/>
                                      </w:divBdr>
                                      <w:divsChild>
                                        <w:div w:id="127142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238621">
                                  <w:marLeft w:val="0"/>
                                  <w:marRight w:val="0"/>
                                  <w:marTop w:val="0"/>
                                  <w:marBottom w:val="0"/>
                                  <w:divBdr>
                                    <w:top w:val="none" w:sz="0" w:space="0" w:color="auto"/>
                                    <w:left w:val="none" w:sz="0" w:space="0" w:color="auto"/>
                                    <w:bottom w:val="none" w:sz="0" w:space="0" w:color="auto"/>
                                    <w:right w:val="none" w:sz="0" w:space="0" w:color="auto"/>
                                  </w:divBdr>
                                  <w:divsChild>
                                    <w:div w:id="3016853">
                                      <w:marLeft w:val="0"/>
                                      <w:marRight w:val="0"/>
                                      <w:marTop w:val="0"/>
                                      <w:marBottom w:val="0"/>
                                      <w:divBdr>
                                        <w:top w:val="none" w:sz="0" w:space="0" w:color="auto"/>
                                        <w:left w:val="none" w:sz="0" w:space="0" w:color="auto"/>
                                        <w:bottom w:val="none" w:sz="0" w:space="0" w:color="auto"/>
                                        <w:right w:val="none" w:sz="0" w:space="0" w:color="auto"/>
                                      </w:divBdr>
                                      <w:divsChild>
                                        <w:div w:id="454099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647414">
                                  <w:marLeft w:val="0"/>
                                  <w:marRight w:val="0"/>
                                  <w:marTop w:val="0"/>
                                  <w:marBottom w:val="0"/>
                                  <w:divBdr>
                                    <w:top w:val="none" w:sz="0" w:space="0" w:color="auto"/>
                                    <w:left w:val="none" w:sz="0" w:space="0" w:color="auto"/>
                                    <w:bottom w:val="none" w:sz="0" w:space="0" w:color="auto"/>
                                    <w:right w:val="none" w:sz="0" w:space="0" w:color="auto"/>
                                  </w:divBdr>
                                  <w:divsChild>
                                    <w:div w:id="1345091991">
                                      <w:marLeft w:val="0"/>
                                      <w:marRight w:val="0"/>
                                      <w:marTop w:val="0"/>
                                      <w:marBottom w:val="0"/>
                                      <w:divBdr>
                                        <w:top w:val="none" w:sz="0" w:space="0" w:color="auto"/>
                                        <w:left w:val="none" w:sz="0" w:space="0" w:color="auto"/>
                                        <w:bottom w:val="none" w:sz="0" w:space="0" w:color="auto"/>
                                        <w:right w:val="none" w:sz="0" w:space="0" w:color="auto"/>
                                      </w:divBdr>
                                      <w:divsChild>
                                        <w:div w:id="260375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5457881">
                                  <w:marLeft w:val="0"/>
                                  <w:marRight w:val="0"/>
                                  <w:marTop w:val="0"/>
                                  <w:marBottom w:val="0"/>
                                  <w:divBdr>
                                    <w:top w:val="none" w:sz="0" w:space="0" w:color="auto"/>
                                    <w:left w:val="none" w:sz="0" w:space="0" w:color="auto"/>
                                    <w:bottom w:val="none" w:sz="0" w:space="0" w:color="auto"/>
                                    <w:right w:val="none" w:sz="0" w:space="0" w:color="auto"/>
                                  </w:divBdr>
                                  <w:divsChild>
                                    <w:div w:id="672562923">
                                      <w:marLeft w:val="0"/>
                                      <w:marRight w:val="0"/>
                                      <w:marTop w:val="0"/>
                                      <w:marBottom w:val="0"/>
                                      <w:divBdr>
                                        <w:top w:val="none" w:sz="0" w:space="0" w:color="auto"/>
                                        <w:left w:val="none" w:sz="0" w:space="0" w:color="auto"/>
                                        <w:bottom w:val="none" w:sz="0" w:space="0" w:color="auto"/>
                                        <w:right w:val="none" w:sz="0" w:space="0" w:color="auto"/>
                                      </w:divBdr>
                                      <w:divsChild>
                                        <w:div w:id="116243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526373">
                                  <w:marLeft w:val="0"/>
                                  <w:marRight w:val="0"/>
                                  <w:marTop w:val="0"/>
                                  <w:marBottom w:val="0"/>
                                  <w:divBdr>
                                    <w:top w:val="none" w:sz="0" w:space="0" w:color="auto"/>
                                    <w:left w:val="none" w:sz="0" w:space="0" w:color="auto"/>
                                    <w:bottom w:val="none" w:sz="0" w:space="0" w:color="auto"/>
                                    <w:right w:val="none" w:sz="0" w:space="0" w:color="auto"/>
                                  </w:divBdr>
                                  <w:divsChild>
                                    <w:div w:id="516774726">
                                      <w:marLeft w:val="0"/>
                                      <w:marRight w:val="0"/>
                                      <w:marTop w:val="0"/>
                                      <w:marBottom w:val="0"/>
                                      <w:divBdr>
                                        <w:top w:val="none" w:sz="0" w:space="0" w:color="auto"/>
                                        <w:left w:val="none" w:sz="0" w:space="0" w:color="auto"/>
                                        <w:bottom w:val="none" w:sz="0" w:space="0" w:color="auto"/>
                                        <w:right w:val="none" w:sz="0" w:space="0" w:color="auto"/>
                                      </w:divBdr>
                                      <w:divsChild>
                                        <w:div w:id="400637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326832">
                                  <w:marLeft w:val="0"/>
                                  <w:marRight w:val="0"/>
                                  <w:marTop w:val="0"/>
                                  <w:marBottom w:val="0"/>
                                  <w:divBdr>
                                    <w:top w:val="none" w:sz="0" w:space="0" w:color="auto"/>
                                    <w:left w:val="none" w:sz="0" w:space="0" w:color="auto"/>
                                    <w:bottom w:val="none" w:sz="0" w:space="0" w:color="auto"/>
                                    <w:right w:val="none" w:sz="0" w:space="0" w:color="auto"/>
                                  </w:divBdr>
                                  <w:divsChild>
                                    <w:div w:id="195386629">
                                      <w:marLeft w:val="0"/>
                                      <w:marRight w:val="0"/>
                                      <w:marTop w:val="0"/>
                                      <w:marBottom w:val="0"/>
                                      <w:divBdr>
                                        <w:top w:val="none" w:sz="0" w:space="0" w:color="auto"/>
                                        <w:left w:val="none" w:sz="0" w:space="0" w:color="auto"/>
                                        <w:bottom w:val="none" w:sz="0" w:space="0" w:color="auto"/>
                                        <w:right w:val="none" w:sz="0" w:space="0" w:color="auto"/>
                                      </w:divBdr>
                                      <w:divsChild>
                                        <w:div w:id="742678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4584521">
                                  <w:marLeft w:val="0"/>
                                  <w:marRight w:val="0"/>
                                  <w:marTop w:val="0"/>
                                  <w:marBottom w:val="0"/>
                                  <w:divBdr>
                                    <w:top w:val="none" w:sz="0" w:space="0" w:color="auto"/>
                                    <w:left w:val="none" w:sz="0" w:space="0" w:color="auto"/>
                                    <w:bottom w:val="none" w:sz="0" w:space="0" w:color="auto"/>
                                    <w:right w:val="none" w:sz="0" w:space="0" w:color="auto"/>
                                  </w:divBdr>
                                  <w:divsChild>
                                    <w:div w:id="1593970694">
                                      <w:marLeft w:val="0"/>
                                      <w:marRight w:val="0"/>
                                      <w:marTop w:val="0"/>
                                      <w:marBottom w:val="0"/>
                                      <w:divBdr>
                                        <w:top w:val="none" w:sz="0" w:space="0" w:color="auto"/>
                                        <w:left w:val="none" w:sz="0" w:space="0" w:color="auto"/>
                                        <w:bottom w:val="none" w:sz="0" w:space="0" w:color="auto"/>
                                        <w:right w:val="none" w:sz="0" w:space="0" w:color="auto"/>
                                      </w:divBdr>
                                      <w:divsChild>
                                        <w:div w:id="942684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917540">
                                  <w:marLeft w:val="0"/>
                                  <w:marRight w:val="0"/>
                                  <w:marTop w:val="0"/>
                                  <w:marBottom w:val="0"/>
                                  <w:divBdr>
                                    <w:top w:val="none" w:sz="0" w:space="0" w:color="auto"/>
                                    <w:left w:val="none" w:sz="0" w:space="0" w:color="auto"/>
                                    <w:bottom w:val="none" w:sz="0" w:space="0" w:color="auto"/>
                                    <w:right w:val="none" w:sz="0" w:space="0" w:color="auto"/>
                                  </w:divBdr>
                                  <w:divsChild>
                                    <w:div w:id="208996721">
                                      <w:marLeft w:val="0"/>
                                      <w:marRight w:val="0"/>
                                      <w:marTop w:val="0"/>
                                      <w:marBottom w:val="0"/>
                                      <w:divBdr>
                                        <w:top w:val="none" w:sz="0" w:space="0" w:color="auto"/>
                                        <w:left w:val="none" w:sz="0" w:space="0" w:color="auto"/>
                                        <w:bottom w:val="none" w:sz="0" w:space="0" w:color="auto"/>
                                        <w:right w:val="none" w:sz="0" w:space="0" w:color="auto"/>
                                      </w:divBdr>
                                      <w:divsChild>
                                        <w:div w:id="1830826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372923">
                                  <w:marLeft w:val="0"/>
                                  <w:marRight w:val="0"/>
                                  <w:marTop w:val="0"/>
                                  <w:marBottom w:val="0"/>
                                  <w:divBdr>
                                    <w:top w:val="none" w:sz="0" w:space="0" w:color="auto"/>
                                    <w:left w:val="none" w:sz="0" w:space="0" w:color="auto"/>
                                    <w:bottom w:val="none" w:sz="0" w:space="0" w:color="auto"/>
                                    <w:right w:val="none" w:sz="0" w:space="0" w:color="auto"/>
                                  </w:divBdr>
                                  <w:divsChild>
                                    <w:div w:id="1624114718">
                                      <w:marLeft w:val="0"/>
                                      <w:marRight w:val="0"/>
                                      <w:marTop w:val="0"/>
                                      <w:marBottom w:val="0"/>
                                      <w:divBdr>
                                        <w:top w:val="none" w:sz="0" w:space="0" w:color="auto"/>
                                        <w:left w:val="none" w:sz="0" w:space="0" w:color="auto"/>
                                        <w:bottom w:val="none" w:sz="0" w:space="0" w:color="auto"/>
                                        <w:right w:val="none" w:sz="0" w:space="0" w:color="auto"/>
                                      </w:divBdr>
                                      <w:divsChild>
                                        <w:div w:id="159004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756831">
                                  <w:marLeft w:val="0"/>
                                  <w:marRight w:val="0"/>
                                  <w:marTop w:val="0"/>
                                  <w:marBottom w:val="0"/>
                                  <w:divBdr>
                                    <w:top w:val="none" w:sz="0" w:space="0" w:color="auto"/>
                                    <w:left w:val="none" w:sz="0" w:space="0" w:color="auto"/>
                                    <w:bottom w:val="none" w:sz="0" w:space="0" w:color="auto"/>
                                    <w:right w:val="none" w:sz="0" w:space="0" w:color="auto"/>
                                  </w:divBdr>
                                  <w:divsChild>
                                    <w:div w:id="850413975">
                                      <w:marLeft w:val="0"/>
                                      <w:marRight w:val="0"/>
                                      <w:marTop w:val="0"/>
                                      <w:marBottom w:val="0"/>
                                      <w:divBdr>
                                        <w:top w:val="none" w:sz="0" w:space="0" w:color="auto"/>
                                        <w:left w:val="none" w:sz="0" w:space="0" w:color="auto"/>
                                        <w:bottom w:val="none" w:sz="0" w:space="0" w:color="auto"/>
                                        <w:right w:val="none" w:sz="0" w:space="0" w:color="auto"/>
                                      </w:divBdr>
                                      <w:divsChild>
                                        <w:div w:id="58353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90213">
                                  <w:marLeft w:val="0"/>
                                  <w:marRight w:val="0"/>
                                  <w:marTop w:val="0"/>
                                  <w:marBottom w:val="0"/>
                                  <w:divBdr>
                                    <w:top w:val="none" w:sz="0" w:space="0" w:color="auto"/>
                                    <w:left w:val="none" w:sz="0" w:space="0" w:color="auto"/>
                                    <w:bottom w:val="none" w:sz="0" w:space="0" w:color="auto"/>
                                    <w:right w:val="none" w:sz="0" w:space="0" w:color="auto"/>
                                  </w:divBdr>
                                  <w:divsChild>
                                    <w:div w:id="245040183">
                                      <w:marLeft w:val="0"/>
                                      <w:marRight w:val="0"/>
                                      <w:marTop w:val="0"/>
                                      <w:marBottom w:val="0"/>
                                      <w:divBdr>
                                        <w:top w:val="none" w:sz="0" w:space="0" w:color="auto"/>
                                        <w:left w:val="none" w:sz="0" w:space="0" w:color="auto"/>
                                        <w:bottom w:val="none" w:sz="0" w:space="0" w:color="auto"/>
                                        <w:right w:val="none" w:sz="0" w:space="0" w:color="auto"/>
                                      </w:divBdr>
                                      <w:divsChild>
                                        <w:div w:id="135819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515303">
                                  <w:marLeft w:val="0"/>
                                  <w:marRight w:val="0"/>
                                  <w:marTop w:val="0"/>
                                  <w:marBottom w:val="0"/>
                                  <w:divBdr>
                                    <w:top w:val="none" w:sz="0" w:space="0" w:color="auto"/>
                                    <w:left w:val="none" w:sz="0" w:space="0" w:color="auto"/>
                                    <w:bottom w:val="none" w:sz="0" w:space="0" w:color="auto"/>
                                    <w:right w:val="none" w:sz="0" w:space="0" w:color="auto"/>
                                  </w:divBdr>
                                  <w:divsChild>
                                    <w:div w:id="2094157314">
                                      <w:marLeft w:val="0"/>
                                      <w:marRight w:val="0"/>
                                      <w:marTop w:val="0"/>
                                      <w:marBottom w:val="0"/>
                                      <w:divBdr>
                                        <w:top w:val="none" w:sz="0" w:space="0" w:color="auto"/>
                                        <w:left w:val="none" w:sz="0" w:space="0" w:color="auto"/>
                                        <w:bottom w:val="none" w:sz="0" w:space="0" w:color="auto"/>
                                        <w:right w:val="none" w:sz="0" w:space="0" w:color="auto"/>
                                      </w:divBdr>
                                      <w:divsChild>
                                        <w:div w:id="998800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2891247">
                                  <w:marLeft w:val="0"/>
                                  <w:marRight w:val="0"/>
                                  <w:marTop w:val="0"/>
                                  <w:marBottom w:val="0"/>
                                  <w:divBdr>
                                    <w:top w:val="none" w:sz="0" w:space="0" w:color="auto"/>
                                    <w:left w:val="none" w:sz="0" w:space="0" w:color="auto"/>
                                    <w:bottom w:val="none" w:sz="0" w:space="0" w:color="auto"/>
                                    <w:right w:val="none" w:sz="0" w:space="0" w:color="auto"/>
                                  </w:divBdr>
                                  <w:divsChild>
                                    <w:div w:id="869339042">
                                      <w:marLeft w:val="0"/>
                                      <w:marRight w:val="0"/>
                                      <w:marTop w:val="0"/>
                                      <w:marBottom w:val="0"/>
                                      <w:divBdr>
                                        <w:top w:val="none" w:sz="0" w:space="0" w:color="auto"/>
                                        <w:left w:val="none" w:sz="0" w:space="0" w:color="auto"/>
                                        <w:bottom w:val="none" w:sz="0" w:space="0" w:color="auto"/>
                                        <w:right w:val="none" w:sz="0" w:space="0" w:color="auto"/>
                                      </w:divBdr>
                                      <w:divsChild>
                                        <w:div w:id="6715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328353">
                                  <w:marLeft w:val="0"/>
                                  <w:marRight w:val="0"/>
                                  <w:marTop w:val="0"/>
                                  <w:marBottom w:val="0"/>
                                  <w:divBdr>
                                    <w:top w:val="none" w:sz="0" w:space="0" w:color="auto"/>
                                    <w:left w:val="none" w:sz="0" w:space="0" w:color="auto"/>
                                    <w:bottom w:val="none" w:sz="0" w:space="0" w:color="auto"/>
                                    <w:right w:val="none" w:sz="0" w:space="0" w:color="auto"/>
                                  </w:divBdr>
                                  <w:divsChild>
                                    <w:div w:id="1232428147">
                                      <w:marLeft w:val="0"/>
                                      <w:marRight w:val="0"/>
                                      <w:marTop w:val="0"/>
                                      <w:marBottom w:val="0"/>
                                      <w:divBdr>
                                        <w:top w:val="none" w:sz="0" w:space="0" w:color="auto"/>
                                        <w:left w:val="none" w:sz="0" w:space="0" w:color="auto"/>
                                        <w:bottom w:val="none" w:sz="0" w:space="0" w:color="auto"/>
                                        <w:right w:val="none" w:sz="0" w:space="0" w:color="auto"/>
                                      </w:divBdr>
                                      <w:divsChild>
                                        <w:div w:id="1303652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415419">
                                  <w:marLeft w:val="0"/>
                                  <w:marRight w:val="0"/>
                                  <w:marTop w:val="0"/>
                                  <w:marBottom w:val="0"/>
                                  <w:divBdr>
                                    <w:top w:val="none" w:sz="0" w:space="0" w:color="auto"/>
                                    <w:left w:val="none" w:sz="0" w:space="0" w:color="auto"/>
                                    <w:bottom w:val="none" w:sz="0" w:space="0" w:color="auto"/>
                                    <w:right w:val="none" w:sz="0" w:space="0" w:color="auto"/>
                                  </w:divBdr>
                                  <w:divsChild>
                                    <w:div w:id="106898756">
                                      <w:marLeft w:val="0"/>
                                      <w:marRight w:val="0"/>
                                      <w:marTop w:val="0"/>
                                      <w:marBottom w:val="0"/>
                                      <w:divBdr>
                                        <w:top w:val="none" w:sz="0" w:space="0" w:color="auto"/>
                                        <w:left w:val="none" w:sz="0" w:space="0" w:color="auto"/>
                                        <w:bottom w:val="none" w:sz="0" w:space="0" w:color="auto"/>
                                        <w:right w:val="none" w:sz="0" w:space="0" w:color="auto"/>
                                      </w:divBdr>
                                      <w:divsChild>
                                        <w:div w:id="7378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332570">
                                  <w:marLeft w:val="0"/>
                                  <w:marRight w:val="0"/>
                                  <w:marTop w:val="0"/>
                                  <w:marBottom w:val="0"/>
                                  <w:divBdr>
                                    <w:top w:val="none" w:sz="0" w:space="0" w:color="auto"/>
                                    <w:left w:val="none" w:sz="0" w:space="0" w:color="auto"/>
                                    <w:bottom w:val="none" w:sz="0" w:space="0" w:color="auto"/>
                                    <w:right w:val="none" w:sz="0" w:space="0" w:color="auto"/>
                                  </w:divBdr>
                                  <w:divsChild>
                                    <w:div w:id="132139615">
                                      <w:marLeft w:val="0"/>
                                      <w:marRight w:val="0"/>
                                      <w:marTop w:val="0"/>
                                      <w:marBottom w:val="0"/>
                                      <w:divBdr>
                                        <w:top w:val="none" w:sz="0" w:space="0" w:color="auto"/>
                                        <w:left w:val="none" w:sz="0" w:space="0" w:color="auto"/>
                                        <w:bottom w:val="none" w:sz="0" w:space="0" w:color="auto"/>
                                        <w:right w:val="none" w:sz="0" w:space="0" w:color="auto"/>
                                      </w:divBdr>
                                      <w:divsChild>
                                        <w:div w:id="8354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298428">
                                  <w:marLeft w:val="0"/>
                                  <w:marRight w:val="0"/>
                                  <w:marTop w:val="0"/>
                                  <w:marBottom w:val="0"/>
                                  <w:divBdr>
                                    <w:top w:val="none" w:sz="0" w:space="0" w:color="auto"/>
                                    <w:left w:val="none" w:sz="0" w:space="0" w:color="auto"/>
                                    <w:bottom w:val="none" w:sz="0" w:space="0" w:color="auto"/>
                                    <w:right w:val="none" w:sz="0" w:space="0" w:color="auto"/>
                                  </w:divBdr>
                                  <w:divsChild>
                                    <w:div w:id="384794211">
                                      <w:marLeft w:val="0"/>
                                      <w:marRight w:val="0"/>
                                      <w:marTop w:val="0"/>
                                      <w:marBottom w:val="0"/>
                                      <w:divBdr>
                                        <w:top w:val="none" w:sz="0" w:space="0" w:color="auto"/>
                                        <w:left w:val="none" w:sz="0" w:space="0" w:color="auto"/>
                                        <w:bottom w:val="none" w:sz="0" w:space="0" w:color="auto"/>
                                        <w:right w:val="none" w:sz="0" w:space="0" w:color="auto"/>
                                      </w:divBdr>
                                      <w:divsChild>
                                        <w:div w:id="257063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771659">
                                  <w:marLeft w:val="0"/>
                                  <w:marRight w:val="0"/>
                                  <w:marTop w:val="0"/>
                                  <w:marBottom w:val="0"/>
                                  <w:divBdr>
                                    <w:top w:val="none" w:sz="0" w:space="0" w:color="auto"/>
                                    <w:left w:val="none" w:sz="0" w:space="0" w:color="auto"/>
                                    <w:bottom w:val="none" w:sz="0" w:space="0" w:color="auto"/>
                                    <w:right w:val="none" w:sz="0" w:space="0" w:color="auto"/>
                                  </w:divBdr>
                                  <w:divsChild>
                                    <w:div w:id="1131753183">
                                      <w:marLeft w:val="0"/>
                                      <w:marRight w:val="0"/>
                                      <w:marTop w:val="0"/>
                                      <w:marBottom w:val="0"/>
                                      <w:divBdr>
                                        <w:top w:val="none" w:sz="0" w:space="0" w:color="auto"/>
                                        <w:left w:val="none" w:sz="0" w:space="0" w:color="auto"/>
                                        <w:bottom w:val="none" w:sz="0" w:space="0" w:color="auto"/>
                                        <w:right w:val="none" w:sz="0" w:space="0" w:color="auto"/>
                                      </w:divBdr>
                                      <w:divsChild>
                                        <w:div w:id="4700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3614288">
                                  <w:marLeft w:val="0"/>
                                  <w:marRight w:val="0"/>
                                  <w:marTop w:val="0"/>
                                  <w:marBottom w:val="0"/>
                                  <w:divBdr>
                                    <w:top w:val="none" w:sz="0" w:space="0" w:color="auto"/>
                                    <w:left w:val="none" w:sz="0" w:space="0" w:color="auto"/>
                                    <w:bottom w:val="none" w:sz="0" w:space="0" w:color="auto"/>
                                    <w:right w:val="none" w:sz="0" w:space="0" w:color="auto"/>
                                  </w:divBdr>
                                  <w:divsChild>
                                    <w:div w:id="870607671">
                                      <w:marLeft w:val="0"/>
                                      <w:marRight w:val="0"/>
                                      <w:marTop w:val="0"/>
                                      <w:marBottom w:val="0"/>
                                      <w:divBdr>
                                        <w:top w:val="none" w:sz="0" w:space="0" w:color="auto"/>
                                        <w:left w:val="none" w:sz="0" w:space="0" w:color="auto"/>
                                        <w:bottom w:val="none" w:sz="0" w:space="0" w:color="auto"/>
                                        <w:right w:val="none" w:sz="0" w:space="0" w:color="auto"/>
                                      </w:divBdr>
                                      <w:divsChild>
                                        <w:div w:id="173515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114039">
                                  <w:marLeft w:val="0"/>
                                  <w:marRight w:val="0"/>
                                  <w:marTop w:val="0"/>
                                  <w:marBottom w:val="0"/>
                                  <w:divBdr>
                                    <w:top w:val="none" w:sz="0" w:space="0" w:color="auto"/>
                                    <w:left w:val="none" w:sz="0" w:space="0" w:color="auto"/>
                                    <w:bottom w:val="none" w:sz="0" w:space="0" w:color="auto"/>
                                    <w:right w:val="none" w:sz="0" w:space="0" w:color="auto"/>
                                  </w:divBdr>
                                  <w:divsChild>
                                    <w:div w:id="1733576571">
                                      <w:marLeft w:val="0"/>
                                      <w:marRight w:val="0"/>
                                      <w:marTop w:val="0"/>
                                      <w:marBottom w:val="0"/>
                                      <w:divBdr>
                                        <w:top w:val="none" w:sz="0" w:space="0" w:color="auto"/>
                                        <w:left w:val="none" w:sz="0" w:space="0" w:color="auto"/>
                                        <w:bottom w:val="none" w:sz="0" w:space="0" w:color="auto"/>
                                        <w:right w:val="none" w:sz="0" w:space="0" w:color="auto"/>
                                      </w:divBdr>
                                      <w:divsChild>
                                        <w:div w:id="125312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347037">
                                  <w:marLeft w:val="0"/>
                                  <w:marRight w:val="0"/>
                                  <w:marTop w:val="0"/>
                                  <w:marBottom w:val="0"/>
                                  <w:divBdr>
                                    <w:top w:val="none" w:sz="0" w:space="0" w:color="auto"/>
                                    <w:left w:val="none" w:sz="0" w:space="0" w:color="auto"/>
                                    <w:bottom w:val="none" w:sz="0" w:space="0" w:color="auto"/>
                                    <w:right w:val="none" w:sz="0" w:space="0" w:color="auto"/>
                                  </w:divBdr>
                                  <w:divsChild>
                                    <w:div w:id="1924989410">
                                      <w:marLeft w:val="0"/>
                                      <w:marRight w:val="0"/>
                                      <w:marTop w:val="0"/>
                                      <w:marBottom w:val="0"/>
                                      <w:divBdr>
                                        <w:top w:val="none" w:sz="0" w:space="0" w:color="auto"/>
                                        <w:left w:val="none" w:sz="0" w:space="0" w:color="auto"/>
                                        <w:bottom w:val="none" w:sz="0" w:space="0" w:color="auto"/>
                                        <w:right w:val="none" w:sz="0" w:space="0" w:color="auto"/>
                                      </w:divBdr>
                                      <w:divsChild>
                                        <w:div w:id="165290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306259">
                                  <w:marLeft w:val="0"/>
                                  <w:marRight w:val="0"/>
                                  <w:marTop w:val="0"/>
                                  <w:marBottom w:val="0"/>
                                  <w:divBdr>
                                    <w:top w:val="none" w:sz="0" w:space="0" w:color="auto"/>
                                    <w:left w:val="none" w:sz="0" w:space="0" w:color="auto"/>
                                    <w:bottom w:val="none" w:sz="0" w:space="0" w:color="auto"/>
                                    <w:right w:val="none" w:sz="0" w:space="0" w:color="auto"/>
                                  </w:divBdr>
                                  <w:divsChild>
                                    <w:div w:id="1065757794">
                                      <w:marLeft w:val="0"/>
                                      <w:marRight w:val="0"/>
                                      <w:marTop w:val="0"/>
                                      <w:marBottom w:val="0"/>
                                      <w:divBdr>
                                        <w:top w:val="none" w:sz="0" w:space="0" w:color="auto"/>
                                        <w:left w:val="none" w:sz="0" w:space="0" w:color="auto"/>
                                        <w:bottom w:val="none" w:sz="0" w:space="0" w:color="auto"/>
                                        <w:right w:val="none" w:sz="0" w:space="0" w:color="auto"/>
                                      </w:divBdr>
                                      <w:divsChild>
                                        <w:div w:id="89072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294826">
                                  <w:marLeft w:val="0"/>
                                  <w:marRight w:val="0"/>
                                  <w:marTop w:val="0"/>
                                  <w:marBottom w:val="0"/>
                                  <w:divBdr>
                                    <w:top w:val="none" w:sz="0" w:space="0" w:color="auto"/>
                                    <w:left w:val="none" w:sz="0" w:space="0" w:color="auto"/>
                                    <w:bottom w:val="none" w:sz="0" w:space="0" w:color="auto"/>
                                    <w:right w:val="none" w:sz="0" w:space="0" w:color="auto"/>
                                  </w:divBdr>
                                  <w:divsChild>
                                    <w:div w:id="1961302677">
                                      <w:marLeft w:val="0"/>
                                      <w:marRight w:val="0"/>
                                      <w:marTop w:val="0"/>
                                      <w:marBottom w:val="0"/>
                                      <w:divBdr>
                                        <w:top w:val="none" w:sz="0" w:space="0" w:color="auto"/>
                                        <w:left w:val="none" w:sz="0" w:space="0" w:color="auto"/>
                                        <w:bottom w:val="none" w:sz="0" w:space="0" w:color="auto"/>
                                        <w:right w:val="none" w:sz="0" w:space="0" w:color="auto"/>
                                      </w:divBdr>
                                      <w:divsChild>
                                        <w:div w:id="72391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036623">
                                  <w:marLeft w:val="0"/>
                                  <w:marRight w:val="0"/>
                                  <w:marTop w:val="0"/>
                                  <w:marBottom w:val="0"/>
                                  <w:divBdr>
                                    <w:top w:val="none" w:sz="0" w:space="0" w:color="auto"/>
                                    <w:left w:val="none" w:sz="0" w:space="0" w:color="auto"/>
                                    <w:bottom w:val="none" w:sz="0" w:space="0" w:color="auto"/>
                                    <w:right w:val="none" w:sz="0" w:space="0" w:color="auto"/>
                                  </w:divBdr>
                                  <w:divsChild>
                                    <w:div w:id="1403680114">
                                      <w:marLeft w:val="0"/>
                                      <w:marRight w:val="0"/>
                                      <w:marTop w:val="0"/>
                                      <w:marBottom w:val="0"/>
                                      <w:divBdr>
                                        <w:top w:val="none" w:sz="0" w:space="0" w:color="auto"/>
                                        <w:left w:val="none" w:sz="0" w:space="0" w:color="auto"/>
                                        <w:bottom w:val="none" w:sz="0" w:space="0" w:color="auto"/>
                                        <w:right w:val="none" w:sz="0" w:space="0" w:color="auto"/>
                                      </w:divBdr>
                                      <w:divsChild>
                                        <w:div w:id="1103693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203544">
                                  <w:marLeft w:val="0"/>
                                  <w:marRight w:val="0"/>
                                  <w:marTop w:val="0"/>
                                  <w:marBottom w:val="0"/>
                                  <w:divBdr>
                                    <w:top w:val="none" w:sz="0" w:space="0" w:color="auto"/>
                                    <w:left w:val="none" w:sz="0" w:space="0" w:color="auto"/>
                                    <w:bottom w:val="none" w:sz="0" w:space="0" w:color="auto"/>
                                    <w:right w:val="none" w:sz="0" w:space="0" w:color="auto"/>
                                  </w:divBdr>
                                  <w:divsChild>
                                    <w:div w:id="1702197919">
                                      <w:marLeft w:val="0"/>
                                      <w:marRight w:val="0"/>
                                      <w:marTop w:val="0"/>
                                      <w:marBottom w:val="0"/>
                                      <w:divBdr>
                                        <w:top w:val="none" w:sz="0" w:space="0" w:color="auto"/>
                                        <w:left w:val="none" w:sz="0" w:space="0" w:color="auto"/>
                                        <w:bottom w:val="none" w:sz="0" w:space="0" w:color="auto"/>
                                        <w:right w:val="none" w:sz="0" w:space="0" w:color="auto"/>
                                      </w:divBdr>
                                      <w:divsChild>
                                        <w:div w:id="186720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233614">
                                  <w:marLeft w:val="0"/>
                                  <w:marRight w:val="0"/>
                                  <w:marTop w:val="0"/>
                                  <w:marBottom w:val="0"/>
                                  <w:divBdr>
                                    <w:top w:val="none" w:sz="0" w:space="0" w:color="auto"/>
                                    <w:left w:val="none" w:sz="0" w:space="0" w:color="auto"/>
                                    <w:bottom w:val="none" w:sz="0" w:space="0" w:color="auto"/>
                                    <w:right w:val="none" w:sz="0" w:space="0" w:color="auto"/>
                                  </w:divBdr>
                                  <w:divsChild>
                                    <w:div w:id="836581445">
                                      <w:marLeft w:val="0"/>
                                      <w:marRight w:val="0"/>
                                      <w:marTop w:val="0"/>
                                      <w:marBottom w:val="0"/>
                                      <w:divBdr>
                                        <w:top w:val="none" w:sz="0" w:space="0" w:color="auto"/>
                                        <w:left w:val="none" w:sz="0" w:space="0" w:color="auto"/>
                                        <w:bottom w:val="none" w:sz="0" w:space="0" w:color="auto"/>
                                        <w:right w:val="none" w:sz="0" w:space="0" w:color="auto"/>
                                      </w:divBdr>
                                      <w:divsChild>
                                        <w:div w:id="1853032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285239">
                                  <w:marLeft w:val="0"/>
                                  <w:marRight w:val="0"/>
                                  <w:marTop w:val="0"/>
                                  <w:marBottom w:val="0"/>
                                  <w:divBdr>
                                    <w:top w:val="none" w:sz="0" w:space="0" w:color="auto"/>
                                    <w:left w:val="none" w:sz="0" w:space="0" w:color="auto"/>
                                    <w:bottom w:val="none" w:sz="0" w:space="0" w:color="auto"/>
                                    <w:right w:val="none" w:sz="0" w:space="0" w:color="auto"/>
                                  </w:divBdr>
                                  <w:divsChild>
                                    <w:div w:id="2079281990">
                                      <w:marLeft w:val="0"/>
                                      <w:marRight w:val="0"/>
                                      <w:marTop w:val="0"/>
                                      <w:marBottom w:val="0"/>
                                      <w:divBdr>
                                        <w:top w:val="none" w:sz="0" w:space="0" w:color="auto"/>
                                        <w:left w:val="none" w:sz="0" w:space="0" w:color="auto"/>
                                        <w:bottom w:val="none" w:sz="0" w:space="0" w:color="auto"/>
                                        <w:right w:val="none" w:sz="0" w:space="0" w:color="auto"/>
                                      </w:divBdr>
                                      <w:divsChild>
                                        <w:div w:id="150111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3187103">
                                  <w:marLeft w:val="0"/>
                                  <w:marRight w:val="0"/>
                                  <w:marTop w:val="0"/>
                                  <w:marBottom w:val="0"/>
                                  <w:divBdr>
                                    <w:top w:val="none" w:sz="0" w:space="0" w:color="auto"/>
                                    <w:left w:val="none" w:sz="0" w:space="0" w:color="auto"/>
                                    <w:bottom w:val="none" w:sz="0" w:space="0" w:color="auto"/>
                                    <w:right w:val="none" w:sz="0" w:space="0" w:color="auto"/>
                                  </w:divBdr>
                                  <w:divsChild>
                                    <w:div w:id="402408768">
                                      <w:marLeft w:val="0"/>
                                      <w:marRight w:val="0"/>
                                      <w:marTop w:val="0"/>
                                      <w:marBottom w:val="0"/>
                                      <w:divBdr>
                                        <w:top w:val="none" w:sz="0" w:space="0" w:color="auto"/>
                                        <w:left w:val="none" w:sz="0" w:space="0" w:color="auto"/>
                                        <w:bottom w:val="none" w:sz="0" w:space="0" w:color="auto"/>
                                        <w:right w:val="none" w:sz="0" w:space="0" w:color="auto"/>
                                      </w:divBdr>
                                      <w:divsChild>
                                        <w:div w:id="144711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546096">
                                  <w:marLeft w:val="0"/>
                                  <w:marRight w:val="0"/>
                                  <w:marTop w:val="0"/>
                                  <w:marBottom w:val="0"/>
                                  <w:divBdr>
                                    <w:top w:val="none" w:sz="0" w:space="0" w:color="auto"/>
                                    <w:left w:val="none" w:sz="0" w:space="0" w:color="auto"/>
                                    <w:bottom w:val="none" w:sz="0" w:space="0" w:color="auto"/>
                                    <w:right w:val="none" w:sz="0" w:space="0" w:color="auto"/>
                                  </w:divBdr>
                                  <w:divsChild>
                                    <w:div w:id="2076321580">
                                      <w:marLeft w:val="0"/>
                                      <w:marRight w:val="0"/>
                                      <w:marTop w:val="0"/>
                                      <w:marBottom w:val="0"/>
                                      <w:divBdr>
                                        <w:top w:val="none" w:sz="0" w:space="0" w:color="auto"/>
                                        <w:left w:val="none" w:sz="0" w:space="0" w:color="auto"/>
                                        <w:bottom w:val="none" w:sz="0" w:space="0" w:color="auto"/>
                                        <w:right w:val="none" w:sz="0" w:space="0" w:color="auto"/>
                                      </w:divBdr>
                                      <w:divsChild>
                                        <w:div w:id="1521504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3701">
                                  <w:marLeft w:val="0"/>
                                  <w:marRight w:val="0"/>
                                  <w:marTop w:val="0"/>
                                  <w:marBottom w:val="0"/>
                                  <w:divBdr>
                                    <w:top w:val="none" w:sz="0" w:space="0" w:color="auto"/>
                                    <w:left w:val="none" w:sz="0" w:space="0" w:color="auto"/>
                                    <w:bottom w:val="none" w:sz="0" w:space="0" w:color="auto"/>
                                    <w:right w:val="none" w:sz="0" w:space="0" w:color="auto"/>
                                  </w:divBdr>
                                  <w:divsChild>
                                    <w:div w:id="2037776700">
                                      <w:marLeft w:val="0"/>
                                      <w:marRight w:val="0"/>
                                      <w:marTop w:val="0"/>
                                      <w:marBottom w:val="0"/>
                                      <w:divBdr>
                                        <w:top w:val="none" w:sz="0" w:space="0" w:color="auto"/>
                                        <w:left w:val="none" w:sz="0" w:space="0" w:color="auto"/>
                                        <w:bottom w:val="none" w:sz="0" w:space="0" w:color="auto"/>
                                        <w:right w:val="none" w:sz="0" w:space="0" w:color="auto"/>
                                      </w:divBdr>
                                      <w:divsChild>
                                        <w:div w:id="527065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817450">
                                  <w:marLeft w:val="0"/>
                                  <w:marRight w:val="0"/>
                                  <w:marTop w:val="0"/>
                                  <w:marBottom w:val="0"/>
                                  <w:divBdr>
                                    <w:top w:val="none" w:sz="0" w:space="0" w:color="auto"/>
                                    <w:left w:val="none" w:sz="0" w:space="0" w:color="auto"/>
                                    <w:bottom w:val="none" w:sz="0" w:space="0" w:color="auto"/>
                                    <w:right w:val="none" w:sz="0" w:space="0" w:color="auto"/>
                                  </w:divBdr>
                                  <w:divsChild>
                                    <w:div w:id="798693286">
                                      <w:marLeft w:val="0"/>
                                      <w:marRight w:val="0"/>
                                      <w:marTop w:val="0"/>
                                      <w:marBottom w:val="0"/>
                                      <w:divBdr>
                                        <w:top w:val="none" w:sz="0" w:space="0" w:color="auto"/>
                                        <w:left w:val="none" w:sz="0" w:space="0" w:color="auto"/>
                                        <w:bottom w:val="none" w:sz="0" w:space="0" w:color="auto"/>
                                        <w:right w:val="none" w:sz="0" w:space="0" w:color="auto"/>
                                      </w:divBdr>
                                      <w:divsChild>
                                        <w:div w:id="1680695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025550">
                                  <w:marLeft w:val="0"/>
                                  <w:marRight w:val="0"/>
                                  <w:marTop w:val="0"/>
                                  <w:marBottom w:val="0"/>
                                  <w:divBdr>
                                    <w:top w:val="none" w:sz="0" w:space="0" w:color="auto"/>
                                    <w:left w:val="none" w:sz="0" w:space="0" w:color="auto"/>
                                    <w:bottom w:val="none" w:sz="0" w:space="0" w:color="auto"/>
                                    <w:right w:val="none" w:sz="0" w:space="0" w:color="auto"/>
                                  </w:divBdr>
                                  <w:divsChild>
                                    <w:div w:id="1475946581">
                                      <w:marLeft w:val="0"/>
                                      <w:marRight w:val="0"/>
                                      <w:marTop w:val="0"/>
                                      <w:marBottom w:val="0"/>
                                      <w:divBdr>
                                        <w:top w:val="none" w:sz="0" w:space="0" w:color="auto"/>
                                        <w:left w:val="none" w:sz="0" w:space="0" w:color="auto"/>
                                        <w:bottom w:val="none" w:sz="0" w:space="0" w:color="auto"/>
                                        <w:right w:val="none" w:sz="0" w:space="0" w:color="auto"/>
                                      </w:divBdr>
                                      <w:divsChild>
                                        <w:div w:id="140024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797254">
                                  <w:marLeft w:val="0"/>
                                  <w:marRight w:val="0"/>
                                  <w:marTop w:val="0"/>
                                  <w:marBottom w:val="0"/>
                                  <w:divBdr>
                                    <w:top w:val="none" w:sz="0" w:space="0" w:color="auto"/>
                                    <w:left w:val="none" w:sz="0" w:space="0" w:color="auto"/>
                                    <w:bottom w:val="none" w:sz="0" w:space="0" w:color="auto"/>
                                    <w:right w:val="none" w:sz="0" w:space="0" w:color="auto"/>
                                  </w:divBdr>
                                  <w:divsChild>
                                    <w:div w:id="1007101793">
                                      <w:marLeft w:val="0"/>
                                      <w:marRight w:val="0"/>
                                      <w:marTop w:val="0"/>
                                      <w:marBottom w:val="0"/>
                                      <w:divBdr>
                                        <w:top w:val="none" w:sz="0" w:space="0" w:color="auto"/>
                                        <w:left w:val="none" w:sz="0" w:space="0" w:color="auto"/>
                                        <w:bottom w:val="none" w:sz="0" w:space="0" w:color="auto"/>
                                        <w:right w:val="none" w:sz="0" w:space="0" w:color="auto"/>
                                      </w:divBdr>
                                      <w:divsChild>
                                        <w:div w:id="213412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773664">
                                  <w:marLeft w:val="0"/>
                                  <w:marRight w:val="0"/>
                                  <w:marTop w:val="0"/>
                                  <w:marBottom w:val="0"/>
                                  <w:divBdr>
                                    <w:top w:val="none" w:sz="0" w:space="0" w:color="auto"/>
                                    <w:left w:val="none" w:sz="0" w:space="0" w:color="auto"/>
                                    <w:bottom w:val="none" w:sz="0" w:space="0" w:color="auto"/>
                                    <w:right w:val="none" w:sz="0" w:space="0" w:color="auto"/>
                                  </w:divBdr>
                                  <w:divsChild>
                                    <w:div w:id="766121087">
                                      <w:marLeft w:val="0"/>
                                      <w:marRight w:val="0"/>
                                      <w:marTop w:val="0"/>
                                      <w:marBottom w:val="0"/>
                                      <w:divBdr>
                                        <w:top w:val="none" w:sz="0" w:space="0" w:color="auto"/>
                                        <w:left w:val="none" w:sz="0" w:space="0" w:color="auto"/>
                                        <w:bottom w:val="none" w:sz="0" w:space="0" w:color="auto"/>
                                        <w:right w:val="none" w:sz="0" w:space="0" w:color="auto"/>
                                      </w:divBdr>
                                      <w:divsChild>
                                        <w:div w:id="1981768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425808">
                                  <w:marLeft w:val="0"/>
                                  <w:marRight w:val="0"/>
                                  <w:marTop w:val="0"/>
                                  <w:marBottom w:val="0"/>
                                  <w:divBdr>
                                    <w:top w:val="none" w:sz="0" w:space="0" w:color="auto"/>
                                    <w:left w:val="none" w:sz="0" w:space="0" w:color="auto"/>
                                    <w:bottom w:val="none" w:sz="0" w:space="0" w:color="auto"/>
                                    <w:right w:val="none" w:sz="0" w:space="0" w:color="auto"/>
                                  </w:divBdr>
                                  <w:divsChild>
                                    <w:div w:id="632172806">
                                      <w:marLeft w:val="0"/>
                                      <w:marRight w:val="0"/>
                                      <w:marTop w:val="0"/>
                                      <w:marBottom w:val="0"/>
                                      <w:divBdr>
                                        <w:top w:val="none" w:sz="0" w:space="0" w:color="auto"/>
                                        <w:left w:val="none" w:sz="0" w:space="0" w:color="auto"/>
                                        <w:bottom w:val="none" w:sz="0" w:space="0" w:color="auto"/>
                                        <w:right w:val="none" w:sz="0" w:space="0" w:color="auto"/>
                                      </w:divBdr>
                                      <w:divsChild>
                                        <w:div w:id="214199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250943">
                                  <w:marLeft w:val="0"/>
                                  <w:marRight w:val="0"/>
                                  <w:marTop w:val="0"/>
                                  <w:marBottom w:val="0"/>
                                  <w:divBdr>
                                    <w:top w:val="none" w:sz="0" w:space="0" w:color="auto"/>
                                    <w:left w:val="none" w:sz="0" w:space="0" w:color="auto"/>
                                    <w:bottom w:val="none" w:sz="0" w:space="0" w:color="auto"/>
                                    <w:right w:val="none" w:sz="0" w:space="0" w:color="auto"/>
                                  </w:divBdr>
                                  <w:divsChild>
                                    <w:div w:id="2134706883">
                                      <w:marLeft w:val="0"/>
                                      <w:marRight w:val="0"/>
                                      <w:marTop w:val="0"/>
                                      <w:marBottom w:val="0"/>
                                      <w:divBdr>
                                        <w:top w:val="none" w:sz="0" w:space="0" w:color="auto"/>
                                        <w:left w:val="none" w:sz="0" w:space="0" w:color="auto"/>
                                        <w:bottom w:val="none" w:sz="0" w:space="0" w:color="auto"/>
                                        <w:right w:val="none" w:sz="0" w:space="0" w:color="auto"/>
                                      </w:divBdr>
                                      <w:divsChild>
                                        <w:div w:id="197205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400041">
                                  <w:marLeft w:val="0"/>
                                  <w:marRight w:val="0"/>
                                  <w:marTop w:val="0"/>
                                  <w:marBottom w:val="0"/>
                                  <w:divBdr>
                                    <w:top w:val="none" w:sz="0" w:space="0" w:color="auto"/>
                                    <w:left w:val="none" w:sz="0" w:space="0" w:color="auto"/>
                                    <w:bottom w:val="none" w:sz="0" w:space="0" w:color="auto"/>
                                    <w:right w:val="none" w:sz="0" w:space="0" w:color="auto"/>
                                  </w:divBdr>
                                  <w:divsChild>
                                    <w:div w:id="1911652290">
                                      <w:marLeft w:val="0"/>
                                      <w:marRight w:val="0"/>
                                      <w:marTop w:val="0"/>
                                      <w:marBottom w:val="0"/>
                                      <w:divBdr>
                                        <w:top w:val="none" w:sz="0" w:space="0" w:color="auto"/>
                                        <w:left w:val="none" w:sz="0" w:space="0" w:color="auto"/>
                                        <w:bottom w:val="none" w:sz="0" w:space="0" w:color="auto"/>
                                        <w:right w:val="none" w:sz="0" w:space="0" w:color="auto"/>
                                      </w:divBdr>
                                      <w:divsChild>
                                        <w:div w:id="600839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1870">
                                  <w:marLeft w:val="0"/>
                                  <w:marRight w:val="0"/>
                                  <w:marTop w:val="0"/>
                                  <w:marBottom w:val="0"/>
                                  <w:divBdr>
                                    <w:top w:val="none" w:sz="0" w:space="0" w:color="auto"/>
                                    <w:left w:val="none" w:sz="0" w:space="0" w:color="auto"/>
                                    <w:bottom w:val="none" w:sz="0" w:space="0" w:color="auto"/>
                                    <w:right w:val="none" w:sz="0" w:space="0" w:color="auto"/>
                                  </w:divBdr>
                                  <w:divsChild>
                                    <w:div w:id="2125344483">
                                      <w:marLeft w:val="0"/>
                                      <w:marRight w:val="0"/>
                                      <w:marTop w:val="0"/>
                                      <w:marBottom w:val="0"/>
                                      <w:divBdr>
                                        <w:top w:val="none" w:sz="0" w:space="0" w:color="auto"/>
                                        <w:left w:val="none" w:sz="0" w:space="0" w:color="auto"/>
                                        <w:bottom w:val="none" w:sz="0" w:space="0" w:color="auto"/>
                                        <w:right w:val="none" w:sz="0" w:space="0" w:color="auto"/>
                                      </w:divBdr>
                                      <w:divsChild>
                                        <w:div w:id="833303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88345">
                                  <w:marLeft w:val="0"/>
                                  <w:marRight w:val="0"/>
                                  <w:marTop w:val="0"/>
                                  <w:marBottom w:val="0"/>
                                  <w:divBdr>
                                    <w:top w:val="none" w:sz="0" w:space="0" w:color="auto"/>
                                    <w:left w:val="none" w:sz="0" w:space="0" w:color="auto"/>
                                    <w:bottom w:val="none" w:sz="0" w:space="0" w:color="auto"/>
                                    <w:right w:val="none" w:sz="0" w:space="0" w:color="auto"/>
                                  </w:divBdr>
                                  <w:divsChild>
                                    <w:div w:id="341905598">
                                      <w:marLeft w:val="0"/>
                                      <w:marRight w:val="0"/>
                                      <w:marTop w:val="0"/>
                                      <w:marBottom w:val="0"/>
                                      <w:divBdr>
                                        <w:top w:val="none" w:sz="0" w:space="0" w:color="auto"/>
                                        <w:left w:val="none" w:sz="0" w:space="0" w:color="auto"/>
                                        <w:bottom w:val="none" w:sz="0" w:space="0" w:color="auto"/>
                                        <w:right w:val="none" w:sz="0" w:space="0" w:color="auto"/>
                                      </w:divBdr>
                                      <w:divsChild>
                                        <w:div w:id="2061249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5045538">
                                  <w:marLeft w:val="0"/>
                                  <w:marRight w:val="0"/>
                                  <w:marTop w:val="0"/>
                                  <w:marBottom w:val="0"/>
                                  <w:divBdr>
                                    <w:top w:val="none" w:sz="0" w:space="0" w:color="auto"/>
                                    <w:left w:val="none" w:sz="0" w:space="0" w:color="auto"/>
                                    <w:bottom w:val="none" w:sz="0" w:space="0" w:color="auto"/>
                                    <w:right w:val="none" w:sz="0" w:space="0" w:color="auto"/>
                                  </w:divBdr>
                                  <w:divsChild>
                                    <w:div w:id="271404517">
                                      <w:marLeft w:val="0"/>
                                      <w:marRight w:val="0"/>
                                      <w:marTop w:val="0"/>
                                      <w:marBottom w:val="0"/>
                                      <w:divBdr>
                                        <w:top w:val="none" w:sz="0" w:space="0" w:color="auto"/>
                                        <w:left w:val="none" w:sz="0" w:space="0" w:color="auto"/>
                                        <w:bottom w:val="none" w:sz="0" w:space="0" w:color="auto"/>
                                        <w:right w:val="none" w:sz="0" w:space="0" w:color="auto"/>
                                      </w:divBdr>
                                      <w:divsChild>
                                        <w:div w:id="61787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86098">
                                  <w:marLeft w:val="0"/>
                                  <w:marRight w:val="0"/>
                                  <w:marTop w:val="0"/>
                                  <w:marBottom w:val="0"/>
                                  <w:divBdr>
                                    <w:top w:val="none" w:sz="0" w:space="0" w:color="auto"/>
                                    <w:left w:val="none" w:sz="0" w:space="0" w:color="auto"/>
                                    <w:bottom w:val="none" w:sz="0" w:space="0" w:color="auto"/>
                                    <w:right w:val="none" w:sz="0" w:space="0" w:color="auto"/>
                                  </w:divBdr>
                                  <w:divsChild>
                                    <w:div w:id="1470436926">
                                      <w:marLeft w:val="0"/>
                                      <w:marRight w:val="0"/>
                                      <w:marTop w:val="0"/>
                                      <w:marBottom w:val="0"/>
                                      <w:divBdr>
                                        <w:top w:val="none" w:sz="0" w:space="0" w:color="auto"/>
                                        <w:left w:val="none" w:sz="0" w:space="0" w:color="auto"/>
                                        <w:bottom w:val="none" w:sz="0" w:space="0" w:color="auto"/>
                                        <w:right w:val="none" w:sz="0" w:space="0" w:color="auto"/>
                                      </w:divBdr>
                                      <w:divsChild>
                                        <w:div w:id="191499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224398">
                                  <w:marLeft w:val="0"/>
                                  <w:marRight w:val="0"/>
                                  <w:marTop w:val="0"/>
                                  <w:marBottom w:val="0"/>
                                  <w:divBdr>
                                    <w:top w:val="none" w:sz="0" w:space="0" w:color="auto"/>
                                    <w:left w:val="none" w:sz="0" w:space="0" w:color="auto"/>
                                    <w:bottom w:val="none" w:sz="0" w:space="0" w:color="auto"/>
                                    <w:right w:val="none" w:sz="0" w:space="0" w:color="auto"/>
                                  </w:divBdr>
                                  <w:divsChild>
                                    <w:div w:id="1672951364">
                                      <w:marLeft w:val="0"/>
                                      <w:marRight w:val="0"/>
                                      <w:marTop w:val="0"/>
                                      <w:marBottom w:val="0"/>
                                      <w:divBdr>
                                        <w:top w:val="none" w:sz="0" w:space="0" w:color="auto"/>
                                        <w:left w:val="none" w:sz="0" w:space="0" w:color="auto"/>
                                        <w:bottom w:val="none" w:sz="0" w:space="0" w:color="auto"/>
                                        <w:right w:val="none" w:sz="0" w:space="0" w:color="auto"/>
                                      </w:divBdr>
                                      <w:divsChild>
                                        <w:div w:id="163571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1960313">
                                  <w:marLeft w:val="0"/>
                                  <w:marRight w:val="0"/>
                                  <w:marTop w:val="0"/>
                                  <w:marBottom w:val="0"/>
                                  <w:divBdr>
                                    <w:top w:val="none" w:sz="0" w:space="0" w:color="auto"/>
                                    <w:left w:val="none" w:sz="0" w:space="0" w:color="auto"/>
                                    <w:bottom w:val="none" w:sz="0" w:space="0" w:color="auto"/>
                                    <w:right w:val="none" w:sz="0" w:space="0" w:color="auto"/>
                                  </w:divBdr>
                                  <w:divsChild>
                                    <w:div w:id="1987587134">
                                      <w:marLeft w:val="0"/>
                                      <w:marRight w:val="0"/>
                                      <w:marTop w:val="0"/>
                                      <w:marBottom w:val="0"/>
                                      <w:divBdr>
                                        <w:top w:val="none" w:sz="0" w:space="0" w:color="auto"/>
                                        <w:left w:val="none" w:sz="0" w:space="0" w:color="auto"/>
                                        <w:bottom w:val="none" w:sz="0" w:space="0" w:color="auto"/>
                                        <w:right w:val="none" w:sz="0" w:space="0" w:color="auto"/>
                                      </w:divBdr>
                                      <w:divsChild>
                                        <w:div w:id="7808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72310">
                                  <w:marLeft w:val="0"/>
                                  <w:marRight w:val="0"/>
                                  <w:marTop w:val="0"/>
                                  <w:marBottom w:val="0"/>
                                  <w:divBdr>
                                    <w:top w:val="none" w:sz="0" w:space="0" w:color="auto"/>
                                    <w:left w:val="none" w:sz="0" w:space="0" w:color="auto"/>
                                    <w:bottom w:val="none" w:sz="0" w:space="0" w:color="auto"/>
                                    <w:right w:val="none" w:sz="0" w:space="0" w:color="auto"/>
                                  </w:divBdr>
                                  <w:divsChild>
                                    <w:div w:id="1255675678">
                                      <w:marLeft w:val="0"/>
                                      <w:marRight w:val="0"/>
                                      <w:marTop w:val="0"/>
                                      <w:marBottom w:val="0"/>
                                      <w:divBdr>
                                        <w:top w:val="none" w:sz="0" w:space="0" w:color="auto"/>
                                        <w:left w:val="none" w:sz="0" w:space="0" w:color="auto"/>
                                        <w:bottom w:val="none" w:sz="0" w:space="0" w:color="auto"/>
                                        <w:right w:val="none" w:sz="0" w:space="0" w:color="auto"/>
                                      </w:divBdr>
                                      <w:divsChild>
                                        <w:div w:id="120464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2128704">
                                  <w:marLeft w:val="0"/>
                                  <w:marRight w:val="0"/>
                                  <w:marTop w:val="0"/>
                                  <w:marBottom w:val="0"/>
                                  <w:divBdr>
                                    <w:top w:val="none" w:sz="0" w:space="0" w:color="auto"/>
                                    <w:left w:val="none" w:sz="0" w:space="0" w:color="auto"/>
                                    <w:bottom w:val="none" w:sz="0" w:space="0" w:color="auto"/>
                                    <w:right w:val="none" w:sz="0" w:space="0" w:color="auto"/>
                                  </w:divBdr>
                                  <w:divsChild>
                                    <w:div w:id="750078136">
                                      <w:marLeft w:val="0"/>
                                      <w:marRight w:val="0"/>
                                      <w:marTop w:val="0"/>
                                      <w:marBottom w:val="0"/>
                                      <w:divBdr>
                                        <w:top w:val="none" w:sz="0" w:space="0" w:color="auto"/>
                                        <w:left w:val="none" w:sz="0" w:space="0" w:color="auto"/>
                                        <w:bottom w:val="none" w:sz="0" w:space="0" w:color="auto"/>
                                        <w:right w:val="none" w:sz="0" w:space="0" w:color="auto"/>
                                      </w:divBdr>
                                      <w:divsChild>
                                        <w:div w:id="131217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755692">
                                  <w:marLeft w:val="0"/>
                                  <w:marRight w:val="0"/>
                                  <w:marTop w:val="0"/>
                                  <w:marBottom w:val="0"/>
                                  <w:divBdr>
                                    <w:top w:val="none" w:sz="0" w:space="0" w:color="auto"/>
                                    <w:left w:val="none" w:sz="0" w:space="0" w:color="auto"/>
                                    <w:bottom w:val="none" w:sz="0" w:space="0" w:color="auto"/>
                                    <w:right w:val="none" w:sz="0" w:space="0" w:color="auto"/>
                                  </w:divBdr>
                                  <w:divsChild>
                                    <w:div w:id="937174865">
                                      <w:marLeft w:val="0"/>
                                      <w:marRight w:val="0"/>
                                      <w:marTop w:val="0"/>
                                      <w:marBottom w:val="0"/>
                                      <w:divBdr>
                                        <w:top w:val="none" w:sz="0" w:space="0" w:color="auto"/>
                                        <w:left w:val="none" w:sz="0" w:space="0" w:color="auto"/>
                                        <w:bottom w:val="none" w:sz="0" w:space="0" w:color="auto"/>
                                        <w:right w:val="none" w:sz="0" w:space="0" w:color="auto"/>
                                      </w:divBdr>
                                      <w:divsChild>
                                        <w:div w:id="622538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911369">
                                  <w:marLeft w:val="0"/>
                                  <w:marRight w:val="0"/>
                                  <w:marTop w:val="0"/>
                                  <w:marBottom w:val="0"/>
                                  <w:divBdr>
                                    <w:top w:val="none" w:sz="0" w:space="0" w:color="auto"/>
                                    <w:left w:val="none" w:sz="0" w:space="0" w:color="auto"/>
                                    <w:bottom w:val="none" w:sz="0" w:space="0" w:color="auto"/>
                                    <w:right w:val="none" w:sz="0" w:space="0" w:color="auto"/>
                                  </w:divBdr>
                                  <w:divsChild>
                                    <w:div w:id="1494028118">
                                      <w:marLeft w:val="0"/>
                                      <w:marRight w:val="0"/>
                                      <w:marTop w:val="0"/>
                                      <w:marBottom w:val="0"/>
                                      <w:divBdr>
                                        <w:top w:val="none" w:sz="0" w:space="0" w:color="auto"/>
                                        <w:left w:val="none" w:sz="0" w:space="0" w:color="auto"/>
                                        <w:bottom w:val="none" w:sz="0" w:space="0" w:color="auto"/>
                                        <w:right w:val="none" w:sz="0" w:space="0" w:color="auto"/>
                                      </w:divBdr>
                                      <w:divsChild>
                                        <w:div w:id="207300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705549">
                                  <w:marLeft w:val="0"/>
                                  <w:marRight w:val="0"/>
                                  <w:marTop w:val="0"/>
                                  <w:marBottom w:val="0"/>
                                  <w:divBdr>
                                    <w:top w:val="none" w:sz="0" w:space="0" w:color="auto"/>
                                    <w:left w:val="none" w:sz="0" w:space="0" w:color="auto"/>
                                    <w:bottom w:val="none" w:sz="0" w:space="0" w:color="auto"/>
                                    <w:right w:val="none" w:sz="0" w:space="0" w:color="auto"/>
                                  </w:divBdr>
                                  <w:divsChild>
                                    <w:div w:id="934092548">
                                      <w:marLeft w:val="0"/>
                                      <w:marRight w:val="0"/>
                                      <w:marTop w:val="0"/>
                                      <w:marBottom w:val="0"/>
                                      <w:divBdr>
                                        <w:top w:val="none" w:sz="0" w:space="0" w:color="auto"/>
                                        <w:left w:val="none" w:sz="0" w:space="0" w:color="auto"/>
                                        <w:bottom w:val="none" w:sz="0" w:space="0" w:color="auto"/>
                                        <w:right w:val="none" w:sz="0" w:space="0" w:color="auto"/>
                                      </w:divBdr>
                                      <w:divsChild>
                                        <w:div w:id="53191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734024">
                                  <w:marLeft w:val="0"/>
                                  <w:marRight w:val="0"/>
                                  <w:marTop w:val="0"/>
                                  <w:marBottom w:val="0"/>
                                  <w:divBdr>
                                    <w:top w:val="none" w:sz="0" w:space="0" w:color="auto"/>
                                    <w:left w:val="none" w:sz="0" w:space="0" w:color="auto"/>
                                    <w:bottom w:val="none" w:sz="0" w:space="0" w:color="auto"/>
                                    <w:right w:val="none" w:sz="0" w:space="0" w:color="auto"/>
                                  </w:divBdr>
                                  <w:divsChild>
                                    <w:div w:id="975063314">
                                      <w:marLeft w:val="0"/>
                                      <w:marRight w:val="0"/>
                                      <w:marTop w:val="0"/>
                                      <w:marBottom w:val="0"/>
                                      <w:divBdr>
                                        <w:top w:val="none" w:sz="0" w:space="0" w:color="auto"/>
                                        <w:left w:val="none" w:sz="0" w:space="0" w:color="auto"/>
                                        <w:bottom w:val="none" w:sz="0" w:space="0" w:color="auto"/>
                                        <w:right w:val="none" w:sz="0" w:space="0" w:color="auto"/>
                                      </w:divBdr>
                                      <w:divsChild>
                                        <w:div w:id="1625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081242">
                                  <w:marLeft w:val="0"/>
                                  <w:marRight w:val="0"/>
                                  <w:marTop w:val="0"/>
                                  <w:marBottom w:val="0"/>
                                  <w:divBdr>
                                    <w:top w:val="none" w:sz="0" w:space="0" w:color="auto"/>
                                    <w:left w:val="none" w:sz="0" w:space="0" w:color="auto"/>
                                    <w:bottom w:val="none" w:sz="0" w:space="0" w:color="auto"/>
                                    <w:right w:val="none" w:sz="0" w:space="0" w:color="auto"/>
                                  </w:divBdr>
                                  <w:divsChild>
                                    <w:div w:id="676620498">
                                      <w:marLeft w:val="0"/>
                                      <w:marRight w:val="0"/>
                                      <w:marTop w:val="0"/>
                                      <w:marBottom w:val="0"/>
                                      <w:divBdr>
                                        <w:top w:val="none" w:sz="0" w:space="0" w:color="auto"/>
                                        <w:left w:val="none" w:sz="0" w:space="0" w:color="auto"/>
                                        <w:bottom w:val="none" w:sz="0" w:space="0" w:color="auto"/>
                                        <w:right w:val="none" w:sz="0" w:space="0" w:color="auto"/>
                                      </w:divBdr>
                                      <w:divsChild>
                                        <w:div w:id="201360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161560">
                                  <w:marLeft w:val="0"/>
                                  <w:marRight w:val="0"/>
                                  <w:marTop w:val="0"/>
                                  <w:marBottom w:val="0"/>
                                  <w:divBdr>
                                    <w:top w:val="none" w:sz="0" w:space="0" w:color="auto"/>
                                    <w:left w:val="none" w:sz="0" w:space="0" w:color="auto"/>
                                    <w:bottom w:val="none" w:sz="0" w:space="0" w:color="auto"/>
                                    <w:right w:val="none" w:sz="0" w:space="0" w:color="auto"/>
                                  </w:divBdr>
                                  <w:divsChild>
                                    <w:div w:id="1533835338">
                                      <w:marLeft w:val="0"/>
                                      <w:marRight w:val="0"/>
                                      <w:marTop w:val="0"/>
                                      <w:marBottom w:val="0"/>
                                      <w:divBdr>
                                        <w:top w:val="none" w:sz="0" w:space="0" w:color="auto"/>
                                        <w:left w:val="none" w:sz="0" w:space="0" w:color="auto"/>
                                        <w:bottom w:val="none" w:sz="0" w:space="0" w:color="auto"/>
                                        <w:right w:val="none" w:sz="0" w:space="0" w:color="auto"/>
                                      </w:divBdr>
                                      <w:divsChild>
                                        <w:div w:id="460850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5058395">
                                  <w:marLeft w:val="0"/>
                                  <w:marRight w:val="0"/>
                                  <w:marTop w:val="0"/>
                                  <w:marBottom w:val="0"/>
                                  <w:divBdr>
                                    <w:top w:val="none" w:sz="0" w:space="0" w:color="auto"/>
                                    <w:left w:val="none" w:sz="0" w:space="0" w:color="auto"/>
                                    <w:bottom w:val="none" w:sz="0" w:space="0" w:color="auto"/>
                                    <w:right w:val="none" w:sz="0" w:space="0" w:color="auto"/>
                                  </w:divBdr>
                                  <w:divsChild>
                                    <w:div w:id="748960087">
                                      <w:marLeft w:val="0"/>
                                      <w:marRight w:val="0"/>
                                      <w:marTop w:val="0"/>
                                      <w:marBottom w:val="0"/>
                                      <w:divBdr>
                                        <w:top w:val="none" w:sz="0" w:space="0" w:color="auto"/>
                                        <w:left w:val="none" w:sz="0" w:space="0" w:color="auto"/>
                                        <w:bottom w:val="none" w:sz="0" w:space="0" w:color="auto"/>
                                        <w:right w:val="none" w:sz="0" w:space="0" w:color="auto"/>
                                      </w:divBdr>
                                      <w:divsChild>
                                        <w:div w:id="101248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2270300">
                                  <w:marLeft w:val="0"/>
                                  <w:marRight w:val="0"/>
                                  <w:marTop w:val="0"/>
                                  <w:marBottom w:val="0"/>
                                  <w:divBdr>
                                    <w:top w:val="none" w:sz="0" w:space="0" w:color="auto"/>
                                    <w:left w:val="none" w:sz="0" w:space="0" w:color="auto"/>
                                    <w:bottom w:val="none" w:sz="0" w:space="0" w:color="auto"/>
                                    <w:right w:val="none" w:sz="0" w:space="0" w:color="auto"/>
                                  </w:divBdr>
                                  <w:divsChild>
                                    <w:div w:id="42338180">
                                      <w:marLeft w:val="0"/>
                                      <w:marRight w:val="0"/>
                                      <w:marTop w:val="0"/>
                                      <w:marBottom w:val="0"/>
                                      <w:divBdr>
                                        <w:top w:val="none" w:sz="0" w:space="0" w:color="auto"/>
                                        <w:left w:val="none" w:sz="0" w:space="0" w:color="auto"/>
                                        <w:bottom w:val="none" w:sz="0" w:space="0" w:color="auto"/>
                                        <w:right w:val="none" w:sz="0" w:space="0" w:color="auto"/>
                                      </w:divBdr>
                                      <w:divsChild>
                                        <w:div w:id="1367222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2128">
                                  <w:marLeft w:val="0"/>
                                  <w:marRight w:val="0"/>
                                  <w:marTop w:val="0"/>
                                  <w:marBottom w:val="0"/>
                                  <w:divBdr>
                                    <w:top w:val="none" w:sz="0" w:space="0" w:color="auto"/>
                                    <w:left w:val="none" w:sz="0" w:space="0" w:color="auto"/>
                                    <w:bottom w:val="none" w:sz="0" w:space="0" w:color="auto"/>
                                    <w:right w:val="none" w:sz="0" w:space="0" w:color="auto"/>
                                  </w:divBdr>
                                  <w:divsChild>
                                    <w:div w:id="1320580280">
                                      <w:marLeft w:val="0"/>
                                      <w:marRight w:val="0"/>
                                      <w:marTop w:val="0"/>
                                      <w:marBottom w:val="0"/>
                                      <w:divBdr>
                                        <w:top w:val="none" w:sz="0" w:space="0" w:color="auto"/>
                                        <w:left w:val="none" w:sz="0" w:space="0" w:color="auto"/>
                                        <w:bottom w:val="none" w:sz="0" w:space="0" w:color="auto"/>
                                        <w:right w:val="none" w:sz="0" w:space="0" w:color="auto"/>
                                      </w:divBdr>
                                      <w:divsChild>
                                        <w:div w:id="1916741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0322325">
                                  <w:marLeft w:val="0"/>
                                  <w:marRight w:val="0"/>
                                  <w:marTop w:val="0"/>
                                  <w:marBottom w:val="0"/>
                                  <w:divBdr>
                                    <w:top w:val="none" w:sz="0" w:space="0" w:color="auto"/>
                                    <w:left w:val="none" w:sz="0" w:space="0" w:color="auto"/>
                                    <w:bottom w:val="none" w:sz="0" w:space="0" w:color="auto"/>
                                    <w:right w:val="none" w:sz="0" w:space="0" w:color="auto"/>
                                  </w:divBdr>
                                  <w:divsChild>
                                    <w:div w:id="1534269111">
                                      <w:marLeft w:val="0"/>
                                      <w:marRight w:val="0"/>
                                      <w:marTop w:val="0"/>
                                      <w:marBottom w:val="0"/>
                                      <w:divBdr>
                                        <w:top w:val="none" w:sz="0" w:space="0" w:color="auto"/>
                                        <w:left w:val="none" w:sz="0" w:space="0" w:color="auto"/>
                                        <w:bottom w:val="none" w:sz="0" w:space="0" w:color="auto"/>
                                        <w:right w:val="none" w:sz="0" w:space="0" w:color="auto"/>
                                      </w:divBdr>
                                      <w:divsChild>
                                        <w:div w:id="275525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9692925">
                                  <w:marLeft w:val="0"/>
                                  <w:marRight w:val="0"/>
                                  <w:marTop w:val="0"/>
                                  <w:marBottom w:val="0"/>
                                  <w:divBdr>
                                    <w:top w:val="none" w:sz="0" w:space="0" w:color="auto"/>
                                    <w:left w:val="none" w:sz="0" w:space="0" w:color="auto"/>
                                    <w:bottom w:val="none" w:sz="0" w:space="0" w:color="auto"/>
                                    <w:right w:val="none" w:sz="0" w:space="0" w:color="auto"/>
                                  </w:divBdr>
                                  <w:divsChild>
                                    <w:div w:id="2074111290">
                                      <w:marLeft w:val="0"/>
                                      <w:marRight w:val="0"/>
                                      <w:marTop w:val="0"/>
                                      <w:marBottom w:val="0"/>
                                      <w:divBdr>
                                        <w:top w:val="none" w:sz="0" w:space="0" w:color="auto"/>
                                        <w:left w:val="none" w:sz="0" w:space="0" w:color="auto"/>
                                        <w:bottom w:val="none" w:sz="0" w:space="0" w:color="auto"/>
                                        <w:right w:val="none" w:sz="0" w:space="0" w:color="auto"/>
                                      </w:divBdr>
                                      <w:divsChild>
                                        <w:div w:id="1999382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969537">
                                  <w:marLeft w:val="0"/>
                                  <w:marRight w:val="0"/>
                                  <w:marTop w:val="0"/>
                                  <w:marBottom w:val="0"/>
                                  <w:divBdr>
                                    <w:top w:val="none" w:sz="0" w:space="0" w:color="auto"/>
                                    <w:left w:val="none" w:sz="0" w:space="0" w:color="auto"/>
                                    <w:bottom w:val="none" w:sz="0" w:space="0" w:color="auto"/>
                                    <w:right w:val="none" w:sz="0" w:space="0" w:color="auto"/>
                                  </w:divBdr>
                                  <w:divsChild>
                                    <w:div w:id="1911187953">
                                      <w:marLeft w:val="0"/>
                                      <w:marRight w:val="0"/>
                                      <w:marTop w:val="0"/>
                                      <w:marBottom w:val="0"/>
                                      <w:divBdr>
                                        <w:top w:val="none" w:sz="0" w:space="0" w:color="auto"/>
                                        <w:left w:val="none" w:sz="0" w:space="0" w:color="auto"/>
                                        <w:bottom w:val="none" w:sz="0" w:space="0" w:color="auto"/>
                                        <w:right w:val="none" w:sz="0" w:space="0" w:color="auto"/>
                                      </w:divBdr>
                                      <w:divsChild>
                                        <w:div w:id="357002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26272">
                                  <w:marLeft w:val="0"/>
                                  <w:marRight w:val="0"/>
                                  <w:marTop w:val="0"/>
                                  <w:marBottom w:val="0"/>
                                  <w:divBdr>
                                    <w:top w:val="none" w:sz="0" w:space="0" w:color="auto"/>
                                    <w:left w:val="none" w:sz="0" w:space="0" w:color="auto"/>
                                    <w:bottom w:val="none" w:sz="0" w:space="0" w:color="auto"/>
                                    <w:right w:val="none" w:sz="0" w:space="0" w:color="auto"/>
                                  </w:divBdr>
                                  <w:divsChild>
                                    <w:div w:id="740441835">
                                      <w:marLeft w:val="0"/>
                                      <w:marRight w:val="0"/>
                                      <w:marTop w:val="0"/>
                                      <w:marBottom w:val="0"/>
                                      <w:divBdr>
                                        <w:top w:val="none" w:sz="0" w:space="0" w:color="auto"/>
                                        <w:left w:val="none" w:sz="0" w:space="0" w:color="auto"/>
                                        <w:bottom w:val="none" w:sz="0" w:space="0" w:color="auto"/>
                                        <w:right w:val="none" w:sz="0" w:space="0" w:color="auto"/>
                                      </w:divBdr>
                                      <w:divsChild>
                                        <w:div w:id="716902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044455">
                                  <w:marLeft w:val="0"/>
                                  <w:marRight w:val="0"/>
                                  <w:marTop w:val="0"/>
                                  <w:marBottom w:val="0"/>
                                  <w:divBdr>
                                    <w:top w:val="none" w:sz="0" w:space="0" w:color="auto"/>
                                    <w:left w:val="none" w:sz="0" w:space="0" w:color="auto"/>
                                    <w:bottom w:val="none" w:sz="0" w:space="0" w:color="auto"/>
                                    <w:right w:val="none" w:sz="0" w:space="0" w:color="auto"/>
                                  </w:divBdr>
                                  <w:divsChild>
                                    <w:div w:id="1784299517">
                                      <w:marLeft w:val="0"/>
                                      <w:marRight w:val="0"/>
                                      <w:marTop w:val="0"/>
                                      <w:marBottom w:val="0"/>
                                      <w:divBdr>
                                        <w:top w:val="none" w:sz="0" w:space="0" w:color="auto"/>
                                        <w:left w:val="none" w:sz="0" w:space="0" w:color="auto"/>
                                        <w:bottom w:val="none" w:sz="0" w:space="0" w:color="auto"/>
                                        <w:right w:val="none" w:sz="0" w:space="0" w:color="auto"/>
                                      </w:divBdr>
                                      <w:divsChild>
                                        <w:div w:id="202697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13154">
                                  <w:marLeft w:val="0"/>
                                  <w:marRight w:val="0"/>
                                  <w:marTop w:val="0"/>
                                  <w:marBottom w:val="0"/>
                                  <w:divBdr>
                                    <w:top w:val="none" w:sz="0" w:space="0" w:color="auto"/>
                                    <w:left w:val="none" w:sz="0" w:space="0" w:color="auto"/>
                                    <w:bottom w:val="none" w:sz="0" w:space="0" w:color="auto"/>
                                    <w:right w:val="none" w:sz="0" w:space="0" w:color="auto"/>
                                  </w:divBdr>
                                  <w:divsChild>
                                    <w:div w:id="189220168">
                                      <w:marLeft w:val="0"/>
                                      <w:marRight w:val="0"/>
                                      <w:marTop w:val="0"/>
                                      <w:marBottom w:val="0"/>
                                      <w:divBdr>
                                        <w:top w:val="none" w:sz="0" w:space="0" w:color="auto"/>
                                        <w:left w:val="none" w:sz="0" w:space="0" w:color="auto"/>
                                        <w:bottom w:val="none" w:sz="0" w:space="0" w:color="auto"/>
                                        <w:right w:val="none" w:sz="0" w:space="0" w:color="auto"/>
                                      </w:divBdr>
                                      <w:divsChild>
                                        <w:div w:id="119119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064529">
                                  <w:marLeft w:val="0"/>
                                  <w:marRight w:val="0"/>
                                  <w:marTop w:val="0"/>
                                  <w:marBottom w:val="0"/>
                                  <w:divBdr>
                                    <w:top w:val="none" w:sz="0" w:space="0" w:color="auto"/>
                                    <w:left w:val="none" w:sz="0" w:space="0" w:color="auto"/>
                                    <w:bottom w:val="none" w:sz="0" w:space="0" w:color="auto"/>
                                    <w:right w:val="none" w:sz="0" w:space="0" w:color="auto"/>
                                  </w:divBdr>
                                  <w:divsChild>
                                    <w:div w:id="1601452712">
                                      <w:marLeft w:val="0"/>
                                      <w:marRight w:val="0"/>
                                      <w:marTop w:val="0"/>
                                      <w:marBottom w:val="0"/>
                                      <w:divBdr>
                                        <w:top w:val="none" w:sz="0" w:space="0" w:color="auto"/>
                                        <w:left w:val="none" w:sz="0" w:space="0" w:color="auto"/>
                                        <w:bottom w:val="none" w:sz="0" w:space="0" w:color="auto"/>
                                        <w:right w:val="none" w:sz="0" w:space="0" w:color="auto"/>
                                      </w:divBdr>
                                      <w:divsChild>
                                        <w:div w:id="203996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561582">
                                  <w:marLeft w:val="0"/>
                                  <w:marRight w:val="0"/>
                                  <w:marTop w:val="0"/>
                                  <w:marBottom w:val="0"/>
                                  <w:divBdr>
                                    <w:top w:val="none" w:sz="0" w:space="0" w:color="auto"/>
                                    <w:left w:val="none" w:sz="0" w:space="0" w:color="auto"/>
                                    <w:bottom w:val="none" w:sz="0" w:space="0" w:color="auto"/>
                                    <w:right w:val="none" w:sz="0" w:space="0" w:color="auto"/>
                                  </w:divBdr>
                                  <w:divsChild>
                                    <w:div w:id="84423590">
                                      <w:marLeft w:val="0"/>
                                      <w:marRight w:val="0"/>
                                      <w:marTop w:val="0"/>
                                      <w:marBottom w:val="0"/>
                                      <w:divBdr>
                                        <w:top w:val="none" w:sz="0" w:space="0" w:color="auto"/>
                                        <w:left w:val="none" w:sz="0" w:space="0" w:color="auto"/>
                                        <w:bottom w:val="none" w:sz="0" w:space="0" w:color="auto"/>
                                        <w:right w:val="none" w:sz="0" w:space="0" w:color="auto"/>
                                      </w:divBdr>
                                      <w:divsChild>
                                        <w:div w:id="25749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449081">
                                  <w:marLeft w:val="0"/>
                                  <w:marRight w:val="0"/>
                                  <w:marTop w:val="0"/>
                                  <w:marBottom w:val="0"/>
                                  <w:divBdr>
                                    <w:top w:val="none" w:sz="0" w:space="0" w:color="auto"/>
                                    <w:left w:val="none" w:sz="0" w:space="0" w:color="auto"/>
                                    <w:bottom w:val="none" w:sz="0" w:space="0" w:color="auto"/>
                                    <w:right w:val="none" w:sz="0" w:space="0" w:color="auto"/>
                                  </w:divBdr>
                                  <w:divsChild>
                                    <w:div w:id="751126346">
                                      <w:marLeft w:val="0"/>
                                      <w:marRight w:val="0"/>
                                      <w:marTop w:val="0"/>
                                      <w:marBottom w:val="0"/>
                                      <w:divBdr>
                                        <w:top w:val="none" w:sz="0" w:space="0" w:color="auto"/>
                                        <w:left w:val="none" w:sz="0" w:space="0" w:color="auto"/>
                                        <w:bottom w:val="none" w:sz="0" w:space="0" w:color="auto"/>
                                        <w:right w:val="none" w:sz="0" w:space="0" w:color="auto"/>
                                      </w:divBdr>
                                      <w:divsChild>
                                        <w:div w:id="187454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417860">
                                  <w:marLeft w:val="0"/>
                                  <w:marRight w:val="0"/>
                                  <w:marTop w:val="0"/>
                                  <w:marBottom w:val="0"/>
                                  <w:divBdr>
                                    <w:top w:val="none" w:sz="0" w:space="0" w:color="auto"/>
                                    <w:left w:val="none" w:sz="0" w:space="0" w:color="auto"/>
                                    <w:bottom w:val="none" w:sz="0" w:space="0" w:color="auto"/>
                                    <w:right w:val="none" w:sz="0" w:space="0" w:color="auto"/>
                                  </w:divBdr>
                                  <w:divsChild>
                                    <w:div w:id="897059730">
                                      <w:marLeft w:val="0"/>
                                      <w:marRight w:val="0"/>
                                      <w:marTop w:val="0"/>
                                      <w:marBottom w:val="0"/>
                                      <w:divBdr>
                                        <w:top w:val="none" w:sz="0" w:space="0" w:color="auto"/>
                                        <w:left w:val="none" w:sz="0" w:space="0" w:color="auto"/>
                                        <w:bottom w:val="none" w:sz="0" w:space="0" w:color="auto"/>
                                        <w:right w:val="none" w:sz="0" w:space="0" w:color="auto"/>
                                      </w:divBdr>
                                      <w:divsChild>
                                        <w:div w:id="549616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260795">
                                  <w:marLeft w:val="0"/>
                                  <w:marRight w:val="0"/>
                                  <w:marTop w:val="0"/>
                                  <w:marBottom w:val="0"/>
                                  <w:divBdr>
                                    <w:top w:val="none" w:sz="0" w:space="0" w:color="auto"/>
                                    <w:left w:val="none" w:sz="0" w:space="0" w:color="auto"/>
                                    <w:bottom w:val="none" w:sz="0" w:space="0" w:color="auto"/>
                                    <w:right w:val="none" w:sz="0" w:space="0" w:color="auto"/>
                                  </w:divBdr>
                                  <w:divsChild>
                                    <w:div w:id="810101239">
                                      <w:marLeft w:val="0"/>
                                      <w:marRight w:val="0"/>
                                      <w:marTop w:val="0"/>
                                      <w:marBottom w:val="0"/>
                                      <w:divBdr>
                                        <w:top w:val="none" w:sz="0" w:space="0" w:color="auto"/>
                                        <w:left w:val="none" w:sz="0" w:space="0" w:color="auto"/>
                                        <w:bottom w:val="none" w:sz="0" w:space="0" w:color="auto"/>
                                        <w:right w:val="none" w:sz="0" w:space="0" w:color="auto"/>
                                      </w:divBdr>
                                      <w:divsChild>
                                        <w:div w:id="1702172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8735210">
                                  <w:marLeft w:val="0"/>
                                  <w:marRight w:val="0"/>
                                  <w:marTop w:val="0"/>
                                  <w:marBottom w:val="0"/>
                                  <w:divBdr>
                                    <w:top w:val="none" w:sz="0" w:space="0" w:color="auto"/>
                                    <w:left w:val="none" w:sz="0" w:space="0" w:color="auto"/>
                                    <w:bottom w:val="none" w:sz="0" w:space="0" w:color="auto"/>
                                    <w:right w:val="none" w:sz="0" w:space="0" w:color="auto"/>
                                  </w:divBdr>
                                  <w:divsChild>
                                    <w:div w:id="1048530038">
                                      <w:marLeft w:val="0"/>
                                      <w:marRight w:val="0"/>
                                      <w:marTop w:val="0"/>
                                      <w:marBottom w:val="0"/>
                                      <w:divBdr>
                                        <w:top w:val="none" w:sz="0" w:space="0" w:color="auto"/>
                                        <w:left w:val="none" w:sz="0" w:space="0" w:color="auto"/>
                                        <w:bottom w:val="none" w:sz="0" w:space="0" w:color="auto"/>
                                        <w:right w:val="none" w:sz="0" w:space="0" w:color="auto"/>
                                      </w:divBdr>
                                      <w:divsChild>
                                        <w:div w:id="6259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655982">
                                  <w:marLeft w:val="0"/>
                                  <w:marRight w:val="0"/>
                                  <w:marTop w:val="0"/>
                                  <w:marBottom w:val="0"/>
                                  <w:divBdr>
                                    <w:top w:val="none" w:sz="0" w:space="0" w:color="auto"/>
                                    <w:left w:val="none" w:sz="0" w:space="0" w:color="auto"/>
                                    <w:bottom w:val="none" w:sz="0" w:space="0" w:color="auto"/>
                                    <w:right w:val="none" w:sz="0" w:space="0" w:color="auto"/>
                                  </w:divBdr>
                                  <w:divsChild>
                                    <w:div w:id="1166895968">
                                      <w:marLeft w:val="0"/>
                                      <w:marRight w:val="0"/>
                                      <w:marTop w:val="0"/>
                                      <w:marBottom w:val="0"/>
                                      <w:divBdr>
                                        <w:top w:val="none" w:sz="0" w:space="0" w:color="auto"/>
                                        <w:left w:val="none" w:sz="0" w:space="0" w:color="auto"/>
                                        <w:bottom w:val="none" w:sz="0" w:space="0" w:color="auto"/>
                                        <w:right w:val="none" w:sz="0" w:space="0" w:color="auto"/>
                                      </w:divBdr>
                                      <w:divsChild>
                                        <w:div w:id="1845704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7870">
                                  <w:marLeft w:val="0"/>
                                  <w:marRight w:val="0"/>
                                  <w:marTop w:val="0"/>
                                  <w:marBottom w:val="0"/>
                                  <w:divBdr>
                                    <w:top w:val="none" w:sz="0" w:space="0" w:color="auto"/>
                                    <w:left w:val="none" w:sz="0" w:space="0" w:color="auto"/>
                                    <w:bottom w:val="none" w:sz="0" w:space="0" w:color="auto"/>
                                    <w:right w:val="none" w:sz="0" w:space="0" w:color="auto"/>
                                  </w:divBdr>
                                  <w:divsChild>
                                    <w:div w:id="1121262770">
                                      <w:marLeft w:val="0"/>
                                      <w:marRight w:val="0"/>
                                      <w:marTop w:val="0"/>
                                      <w:marBottom w:val="0"/>
                                      <w:divBdr>
                                        <w:top w:val="none" w:sz="0" w:space="0" w:color="auto"/>
                                        <w:left w:val="none" w:sz="0" w:space="0" w:color="auto"/>
                                        <w:bottom w:val="none" w:sz="0" w:space="0" w:color="auto"/>
                                        <w:right w:val="none" w:sz="0" w:space="0" w:color="auto"/>
                                      </w:divBdr>
                                      <w:divsChild>
                                        <w:div w:id="4311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59689">
                                  <w:marLeft w:val="0"/>
                                  <w:marRight w:val="0"/>
                                  <w:marTop w:val="0"/>
                                  <w:marBottom w:val="0"/>
                                  <w:divBdr>
                                    <w:top w:val="none" w:sz="0" w:space="0" w:color="auto"/>
                                    <w:left w:val="none" w:sz="0" w:space="0" w:color="auto"/>
                                    <w:bottom w:val="none" w:sz="0" w:space="0" w:color="auto"/>
                                    <w:right w:val="none" w:sz="0" w:space="0" w:color="auto"/>
                                  </w:divBdr>
                                  <w:divsChild>
                                    <w:div w:id="1836216361">
                                      <w:marLeft w:val="0"/>
                                      <w:marRight w:val="0"/>
                                      <w:marTop w:val="0"/>
                                      <w:marBottom w:val="0"/>
                                      <w:divBdr>
                                        <w:top w:val="none" w:sz="0" w:space="0" w:color="auto"/>
                                        <w:left w:val="none" w:sz="0" w:space="0" w:color="auto"/>
                                        <w:bottom w:val="none" w:sz="0" w:space="0" w:color="auto"/>
                                        <w:right w:val="none" w:sz="0" w:space="0" w:color="auto"/>
                                      </w:divBdr>
                                      <w:divsChild>
                                        <w:div w:id="212422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570085">
                                  <w:marLeft w:val="0"/>
                                  <w:marRight w:val="0"/>
                                  <w:marTop w:val="0"/>
                                  <w:marBottom w:val="0"/>
                                  <w:divBdr>
                                    <w:top w:val="none" w:sz="0" w:space="0" w:color="auto"/>
                                    <w:left w:val="none" w:sz="0" w:space="0" w:color="auto"/>
                                    <w:bottom w:val="none" w:sz="0" w:space="0" w:color="auto"/>
                                    <w:right w:val="none" w:sz="0" w:space="0" w:color="auto"/>
                                  </w:divBdr>
                                  <w:divsChild>
                                    <w:div w:id="1393507982">
                                      <w:marLeft w:val="0"/>
                                      <w:marRight w:val="0"/>
                                      <w:marTop w:val="0"/>
                                      <w:marBottom w:val="0"/>
                                      <w:divBdr>
                                        <w:top w:val="none" w:sz="0" w:space="0" w:color="auto"/>
                                        <w:left w:val="none" w:sz="0" w:space="0" w:color="auto"/>
                                        <w:bottom w:val="none" w:sz="0" w:space="0" w:color="auto"/>
                                        <w:right w:val="none" w:sz="0" w:space="0" w:color="auto"/>
                                      </w:divBdr>
                                      <w:divsChild>
                                        <w:div w:id="1591422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089501">
                                  <w:marLeft w:val="0"/>
                                  <w:marRight w:val="0"/>
                                  <w:marTop w:val="0"/>
                                  <w:marBottom w:val="0"/>
                                  <w:divBdr>
                                    <w:top w:val="none" w:sz="0" w:space="0" w:color="auto"/>
                                    <w:left w:val="none" w:sz="0" w:space="0" w:color="auto"/>
                                    <w:bottom w:val="none" w:sz="0" w:space="0" w:color="auto"/>
                                    <w:right w:val="none" w:sz="0" w:space="0" w:color="auto"/>
                                  </w:divBdr>
                                  <w:divsChild>
                                    <w:div w:id="888373210">
                                      <w:marLeft w:val="0"/>
                                      <w:marRight w:val="0"/>
                                      <w:marTop w:val="0"/>
                                      <w:marBottom w:val="0"/>
                                      <w:divBdr>
                                        <w:top w:val="none" w:sz="0" w:space="0" w:color="auto"/>
                                        <w:left w:val="none" w:sz="0" w:space="0" w:color="auto"/>
                                        <w:bottom w:val="none" w:sz="0" w:space="0" w:color="auto"/>
                                        <w:right w:val="none" w:sz="0" w:space="0" w:color="auto"/>
                                      </w:divBdr>
                                      <w:divsChild>
                                        <w:div w:id="1755323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482467">
                                  <w:marLeft w:val="0"/>
                                  <w:marRight w:val="0"/>
                                  <w:marTop w:val="0"/>
                                  <w:marBottom w:val="0"/>
                                  <w:divBdr>
                                    <w:top w:val="none" w:sz="0" w:space="0" w:color="auto"/>
                                    <w:left w:val="none" w:sz="0" w:space="0" w:color="auto"/>
                                    <w:bottom w:val="none" w:sz="0" w:space="0" w:color="auto"/>
                                    <w:right w:val="none" w:sz="0" w:space="0" w:color="auto"/>
                                  </w:divBdr>
                                  <w:divsChild>
                                    <w:div w:id="1311472815">
                                      <w:marLeft w:val="0"/>
                                      <w:marRight w:val="0"/>
                                      <w:marTop w:val="0"/>
                                      <w:marBottom w:val="0"/>
                                      <w:divBdr>
                                        <w:top w:val="none" w:sz="0" w:space="0" w:color="auto"/>
                                        <w:left w:val="none" w:sz="0" w:space="0" w:color="auto"/>
                                        <w:bottom w:val="none" w:sz="0" w:space="0" w:color="auto"/>
                                        <w:right w:val="none" w:sz="0" w:space="0" w:color="auto"/>
                                      </w:divBdr>
                                      <w:divsChild>
                                        <w:div w:id="415202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822405">
                                  <w:marLeft w:val="0"/>
                                  <w:marRight w:val="0"/>
                                  <w:marTop w:val="0"/>
                                  <w:marBottom w:val="0"/>
                                  <w:divBdr>
                                    <w:top w:val="none" w:sz="0" w:space="0" w:color="auto"/>
                                    <w:left w:val="none" w:sz="0" w:space="0" w:color="auto"/>
                                    <w:bottom w:val="none" w:sz="0" w:space="0" w:color="auto"/>
                                    <w:right w:val="none" w:sz="0" w:space="0" w:color="auto"/>
                                  </w:divBdr>
                                  <w:divsChild>
                                    <w:div w:id="680856320">
                                      <w:marLeft w:val="0"/>
                                      <w:marRight w:val="0"/>
                                      <w:marTop w:val="0"/>
                                      <w:marBottom w:val="0"/>
                                      <w:divBdr>
                                        <w:top w:val="none" w:sz="0" w:space="0" w:color="auto"/>
                                        <w:left w:val="none" w:sz="0" w:space="0" w:color="auto"/>
                                        <w:bottom w:val="none" w:sz="0" w:space="0" w:color="auto"/>
                                        <w:right w:val="none" w:sz="0" w:space="0" w:color="auto"/>
                                      </w:divBdr>
                                      <w:divsChild>
                                        <w:div w:id="159404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202507">
                                  <w:marLeft w:val="0"/>
                                  <w:marRight w:val="0"/>
                                  <w:marTop w:val="0"/>
                                  <w:marBottom w:val="0"/>
                                  <w:divBdr>
                                    <w:top w:val="none" w:sz="0" w:space="0" w:color="auto"/>
                                    <w:left w:val="none" w:sz="0" w:space="0" w:color="auto"/>
                                    <w:bottom w:val="none" w:sz="0" w:space="0" w:color="auto"/>
                                    <w:right w:val="none" w:sz="0" w:space="0" w:color="auto"/>
                                  </w:divBdr>
                                  <w:divsChild>
                                    <w:div w:id="1295453221">
                                      <w:marLeft w:val="0"/>
                                      <w:marRight w:val="0"/>
                                      <w:marTop w:val="0"/>
                                      <w:marBottom w:val="0"/>
                                      <w:divBdr>
                                        <w:top w:val="none" w:sz="0" w:space="0" w:color="auto"/>
                                        <w:left w:val="none" w:sz="0" w:space="0" w:color="auto"/>
                                        <w:bottom w:val="none" w:sz="0" w:space="0" w:color="auto"/>
                                        <w:right w:val="none" w:sz="0" w:space="0" w:color="auto"/>
                                      </w:divBdr>
                                      <w:divsChild>
                                        <w:div w:id="806624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4086915">
                                  <w:marLeft w:val="0"/>
                                  <w:marRight w:val="0"/>
                                  <w:marTop w:val="0"/>
                                  <w:marBottom w:val="0"/>
                                  <w:divBdr>
                                    <w:top w:val="none" w:sz="0" w:space="0" w:color="auto"/>
                                    <w:left w:val="none" w:sz="0" w:space="0" w:color="auto"/>
                                    <w:bottom w:val="none" w:sz="0" w:space="0" w:color="auto"/>
                                    <w:right w:val="none" w:sz="0" w:space="0" w:color="auto"/>
                                  </w:divBdr>
                                  <w:divsChild>
                                    <w:div w:id="1658417713">
                                      <w:marLeft w:val="0"/>
                                      <w:marRight w:val="0"/>
                                      <w:marTop w:val="0"/>
                                      <w:marBottom w:val="0"/>
                                      <w:divBdr>
                                        <w:top w:val="none" w:sz="0" w:space="0" w:color="auto"/>
                                        <w:left w:val="none" w:sz="0" w:space="0" w:color="auto"/>
                                        <w:bottom w:val="none" w:sz="0" w:space="0" w:color="auto"/>
                                        <w:right w:val="none" w:sz="0" w:space="0" w:color="auto"/>
                                      </w:divBdr>
                                      <w:divsChild>
                                        <w:div w:id="121223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6206286">
                                  <w:marLeft w:val="0"/>
                                  <w:marRight w:val="0"/>
                                  <w:marTop w:val="0"/>
                                  <w:marBottom w:val="0"/>
                                  <w:divBdr>
                                    <w:top w:val="none" w:sz="0" w:space="0" w:color="auto"/>
                                    <w:left w:val="none" w:sz="0" w:space="0" w:color="auto"/>
                                    <w:bottom w:val="none" w:sz="0" w:space="0" w:color="auto"/>
                                    <w:right w:val="none" w:sz="0" w:space="0" w:color="auto"/>
                                  </w:divBdr>
                                  <w:divsChild>
                                    <w:div w:id="670916227">
                                      <w:marLeft w:val="0"/>
                                      <w:marRight w:val="0"/>
                                      <w:marTop w:val="0"/>
                                      <w:marBottom w:val="0"/>
                                      <w:divBdr>
                                        <w:top w:val="none" w:sz="0" w:space="0" w:color="auto"/>
                                        <w:left w:val="none" w:sz="0" w:space="0" w:color="auto"/>
                                        <w:bottom w:val="none" w:sz="0" w:space="0" w:color="auto"/>
                                        <w:right w:val="none" w:sz="0" w:space="0" w:color="auto"/>
                                      </w:divBdr>
                                      <w:divsChild>
                                        <w:div w:id="1740446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962531">
                                  <w:marLeft w:val="0"/>
                                  <w:marRight w:val="0"/>
                                  <w:marTop w:val="0"/>
                                  <w:marBottom w:val="0"/>
                                  <w:divBdr>
                                    <w:top w:val="none" w:sz="0" w:space="0" w:color="auto"/>
                                    <w:left w:val="none" w:sz="0" w:space="0" w:color="auto"/>
                                    <w:bottom w:val="none" w:sz="0" w:space="0" w:color="auto"/>
                                    <w:right w:val="none" w:sz="0" w:space="0" w:color="auto"/>
                                  </w:divBdr>
                                  <w:divsChild>
                                    <w:div w:id="1332022279">
                                      <w:marLeft w:val="0"/>
                                      <w:marRight w:val="0"/>
                                      <w:marTop w:val="0"/>
                                      <w:marBottom w:val="0"/>
                                      <w:divBdr>
                                        <w:top w:val="none" w:sz="0" w:space="0" w:color="auto"/>
                                        <w:left w:val="none" w:sz="0" w:space="0" w:color="auto"/>
                                        <w:bottom w:val="none" w:sz="0" w:space="0" w:color="auto"/>
                                        <w:right w:val="none" w:sz="0" w:space="0" w:color="auto"/>
                                      </w:divBdr>
                                      <w:divsChild>
                                        <w:div w:id="55070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1081946">
                                  <w:marLeft w:val="0"/>
                                  <w:marRight w:val="0"/>
                                  <w:marTop w:val="0"/>
                                  <w:marBottom w:val="0"/>
                                  <w:divBdr>
                                    <w:top w:val="none" w:sz="0" w:space="0" w:color="auto"/>
                                    <w:left w:val="none" w:sz="0" w:space="0" w:color="auto"/>
                                    <w:bottom w:val="none" w:sz="0" w:space="0" w:color="auto"/>
                                    <w:right w:val="none" w:sz="0" w:space="0" w:color="auto"/>
                                  </w:divBdr>
                                  <w:divsChild>
                                    <w:div w:id="1239287101">
                                      <w:marLeft w:val="0"/>
                                      <w:marRight w:val="0"/>
                                      <w:marTop w:val="0"/>
                                      <w:marBottom w:val="0"/>
                                      <w:divBdr>
                                        <w:top w:val="none" w:sz="0" w:space="0" w:color="auto"/>
                                        <w:left w:val="none" w:sz="0" w:space="0" w:color="auto"/>
                                        <w:bottom w:val="none" w:sz="0" w:space="0" w:color="auto"/>
                                        <w:right w:val="none" w:sz="0" w:space="0" w:color="auto"/>
                                      </w:divBdr>
                                      <w:divsChild>
                                        <w:div w:id="3027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725890">
                                  <w:marLeft w:val="0"/>
                                  <w:marRight w:val="0"/>
                                  <w:marTop w:val="0"/>
                                  <w:marBottom w:val="0"/>
                                  <w:divBdr>
                                    <w:top w:val="none" w:sz="0" w:space="0" w:color="auto"/>
                                    <w:left w:val="none" w:sz="0" w:space="0" w:color="auto"/>
                                    <w:bottom w:val="none" w:sz="0" w:space="0" w:color="auto"/>
                                    <w:right w:val="none" w:sz="0" w:space="0" w:color="auto"/>
                                  </w:divBdr>
                                  <w:divsChild>
                                    <w:div w:id="1853564063">
                                      <w:marLeft w:val="0"/>
                                      <w:marRight w:val="0"/>
                                      <w:marTop w:val="0"/>
                                      <w:marBottom w:val="0"/>
                                      <w:divBdr>
                                        <w:top w:val="none" w:sz="0" w:space="0" w:color="auto"/>
                                        <w:left w:val="none" w:sz="0" w:space="0" w:color="auto"/>
                                        <w:bottom w:val="none" w:sz="0" w:space="0" w:color="auto"/>
                                        <w:right w:val="none" w:sz="0" w:space="0" w:color="auto"/>
                                      </w:divBdr>
                                      <w:divsChild>
                                        <w:div w:id="78735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8476705">
      <w:bodyDiv w:val="1"/>
      <w:marLeft w:val="0"/>
      <w:marRight w:val="0"/>
      <w:marTop w:val="0"/>
      <w:marBottom w:val="0"/>
      <w:divBdr>
        <w:top w:val="none" w:sz="0" w:space="0" w:color="auto"/>
        <w:left w:val="none" w:sz="0" w:space="0" w:color="auto"/>
        <w:bottom w:val="none" w:sz="0" w:space="0" w:color="auto"/>
        <w:right w:val="none" w:sz="0" w:space="0" w:color="auto"/>
      </w:divBdr>
      <w:divsChild>
        <w:div w:id="297103354">
          <w:marLeft w:val="1267"/>
          <w:marRight w:val="0"/>
          <w:marTop w:val="120"/>
          <w:marBottom w:val="120"/>
          <w:divBdr>
            <w:top w:val="none" w:sz="0" w:space="0" w:color="auto"/>
            <w:left w:val="none" w:sz="0" w:space="0" w:color="auto"/>
            <w:bottom w:val="none" w:sz="0" w:space="0" w:color="auto"/>
            <w:right w:val="none" w:sz="0" w:space="0" w:color="auto"/>
          </w:divBdr>
        </w:div>
        <w:div w:id="407459428">
          <w:marLeft w:val="1987"/>
          <w:marRight w:val="0"/>
          <w:marTop w:val="120"/>
          <w:marBottom w:val="120"/>
          <w:divBdr>
            <w:top w:val="none" w:sz="0" w:space="0" w:color="auto"/>
            <w:left w:val="none" w:sz="0" w:space="0" w:color="auto"/>
            <w:bottom w:val="none" w:sz="0" w:space="0" w:color="auto"/>
            <w:right w:val="none" w:sz="0" w:space="0" w:color="auto"/>
          </w:divBdr>
        </w:div>
      </w:divsChild>
    </w:div>
    <w:div w:id="1456943055">
      <w:bodyDiv w:val="1"/>
      <w:marLeft w:val="0"/>
      <w:marRight w:val="0"/>
      <w:marTop w:val="0"/>
      <w:marBottom w:val="0"/>
      <w:divBdr>
        <w:top w:val="none" w:sz="0" w:space="0" w:color="auto"/>
        <w:left w:val="none" w:sz="0" w:space="0" w:color="auto"/>
        <w:bottom w:val="none" w:sz="0" w:space="0" w:color="auto"/>
        <w:right w:val="none" w:sz="0" w:space="0" w:color="auto"/>
      </w:divBdr>
    </w:div>
    <w:div w:id="1470318659">
      <w:bodyDiv w:val="1"/>
      <w:marLeft w:val="0"/>
      <w:marRight w:val="0"/>
      <w:marTop w:val="0"/>
      <w:marBottom w:val="0"/>
      <w:divBdr>
        <w:top w:val="none" w:sz="0" w:space="0" w:color="auto"/>
        <w:left w:val="none" w:sz="0" w:space="0" w:color="auto"/>
        <w:bottom w:val="none" w:sz="0" w:space="0" w:color="auto"/>
        <w:right w:val="none" w:sz="0" w:space="0" w:color="auto"/>
      </w:divBdr>
      <w:divsChild>
        <w:div w:id="778834097">
          <w:marLeft w:val="0"/>
          <w:marRight w:val="0"/>
          <w:marTop w:val="0"/>
          <w:marBottom w:val="0"/>
          <w:divBdr>
            <w:top w:val="none" w:sz="0" w:space="0" w:color="auto"/>
            <w:left w:val="none" w:sz="0" w:space="0" w:color="auto"/>
            <w:bottom w:val="none" w:sz="0" w:space="0" w:color="auto"/>
            <w:right w:val="none" w:sz="0" w:space="0" w:color="auto"/>
          </w:divBdr>
          <w:divsChild>
            <w:div w:id="1819299693">
              <w:marLeft w:val="0"/>
              <w:marRight w:val="0"/>
              <w:marTop w:val="0"/>
              <w:marBottom w:val="0"/>
              <w:divBdr>
                <w:top w:val="none" w:sz="0" w:space="0" w:color="auto"/>
                <w:left w:val="none" w:sz="0" w:space="0" w:color="auto"/>
                <w:bottom w:val="none" w:sz="0" w:space="0" w:color="auto"/>
                <w:right w:val="none" w:sz="0" w:space="0" w:color="auto"/>
              </w:divBdr>
            </w:div>
          </w:divsChild>
        </w:div>
        <w:div w:id="1315450589">
          <w:marLeft w:val="0"/>
          <w:marRight w:val="0"/>
          <w:marTop w:val="0"/>
          <w:marBottom w:val="0"/>
          <w:divBdr>
            <w:top w:val="none" w:sz="0" w:space="0" w:color="auto"/>
            <w:left w:val="none" w:sz="0" w:space="0" w:color="auto"/>
            <w:bottom w:val="none" w:sz="0" w:space="0" w:color="auto"/>
            <w:right w:val="none" w:sz="0" w:space="0" w:color="auto"/>
          </w:divBdr>
          <w:divsChild>
            <w:div w:id="2010478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01336">
      <w:bodyDiv w:val="1"/>
      <w:marLeft w:val="0"/>
      <w:marRight w:val="0"/>
      <w:marTop w:val="0"/>
      <w:marBottom w:val="0"/>
      <w:divBdr>
        <w:top w:val="none" w:sz="0" w:space="0" w:color="auto"/>
        <w:left w:val="none" w:sz="0" w:space="0" w:color="auto"/>
        <w:bottom w:val="none" w:sz="0" w:space="0" w:color="auto"/>
        <w:right w:val="none" w:sz="0" w:space="0" w:color="auto"/>
      </w:divBdr>
    </w:div>
    <w:div w:id="1486356604">
      <w:bodyDiv w:val="1"/>
      <w:marLeft w:val="0"/>
      <w:marRight w:val="0"/>
      <w:marTop w:val="0"/>
      <w:marBottom w:val="0"/>
      <w:divBdr>
        <w:top w:val="none" w:sz="0" w:space="0" w:color="auto"/>
        <w:left w:val="none" w:sz="0" w:space="0" w:color="auto"/>
        <w:bottom w:val="none" w:sz="0" w:space="0" w:color="auto"/>
        <w:right w:val="none" w:sz="0" w:space="0" w:color="auto"/>
      </w:divBdr>
    </w:div>
    <w:div w:id="1520968901">
      <w:bodyDiv w:val="1"/>
      <w:marLeft w:val="0"/>
      <w:marRight w:val="0"/>
      <w:marTop w:val="0"/>
      <w:marBottom w:val="0"/>
      <w:divBdr>
        <w:top w:val="none" w:sz="0" w:space="0" w:color="auto"/>
        <w:left w:val="none" w:sz="0" w:space="0" w:color="auto"/>
        <w:bottom w:val="none" w:sz="0" w:space="0" w:color="auto"/>
        <w:right w:val="none" w:sz="0" w:space="0" w:color="auto"/>
      </w:divBdr>
    </w:div>
    <w:div w:id="1523205240">
      <w:bodyDiv w:val="1"/>
      <w:marLeft w:val="0"/>
      <w:marRight w:val="0"/>
      <w:marTop w:val="0"/>
      <w:marBottom w:val="0"/>
      <w:divBdr>
        <w:top w:val="none" w:sz="0" w:space="0" w:color="auto"/>
        <w:left w:val="none" w:sz="0" w:space="0" w:color="auto"/>
        <w:bottom w:val="none" w:sz="0" w:space="0" w:color="auto"/>
        <w:right w:val="none" w:sz="0" w:space="0" w:color="auto"/>
      </w:divBdr>
    </w:div>
    <w:div w:id="1557930986">
      <w:bodyDiv w:val="1"/>
      <w:marLeft w:val="0"/>
      <w:marRight w:val="0"/>
      <w:marTop w:val="0"/>
      <w:marBottom w:val="0"/>
      <w:divBdr>
        <w:top w:val="none" w:sz="0" w:space="0" w:color="auto"/>
        <w:left w:val="none" w:sz="0" w:space="0" w:color="auto"/>
        <w:bottom w:val="none" w:sz="0" w:space="0" w:color="auto"/>
        <w:right w:val="none" w:sz="0" w:space="0" w:color="auto"/>
      </w:divBdr>
      <w:divsChild>
        <w:div w:id="182011456">
          <w:marLeft w:val="0"/>
          <w:marRight w:val="0"/>
          <w:marTop w:val="0"/>
          <w:marBottom w:val="0"/>
          <w:divBdr>
            <w:top w:val="none" w:sz="0" w:space="0" w:color="auto"/>
            <w:left w:val="none" w:sz="0" w:space="0" w:color="auto"/>
            <w:bottom w:val="none" w:sz="0" w:space="0" w:color="auto"/>
            <w:right w:val="none" w:sz="0" w:space="0" w:color="auto"/>
          </w:divBdr>
          <w:divsChild>
            <w:div w:id="516778152">
              <w:marLeft w:val="0"/>
              <w:marRight w:val="0"/>
              <w:marTop w:val="0"/>
              <w:marBottom w:val="0"/>
              <w:divBdr>
                <w:top w:val="none" w:sz="0" w:space="0" w:color="auto"/>
                <w:left w:val="none" w:sz="0" w:space="0" w:color="auto"/>
                <w:bottom w:val="none" w:sz="0" w:space="0" w:color="auto"/>
                <w:right w:val="none" w:sz="0" w:space="0" w:color="auto"/>
              </w:divBdr>
            </w:div>
          </w:divsChild>
        </w:div>
        <w:div w:id="189415349">
          <w:marLeft w:val="0"/>
          <w:marRight w:val="0"/>
          <w:marTop w:val="0"/>
          <w:marBottom w:val="0"/>
          <w:divBdr>
            <w:top w:val="none" w:sz="0" w:space="0" w:color="auto"/>
            <w:left w:val="none" w:sz="0" w:space="0" w:color="auto"/>
            <w:bottom w:val="none" w:sz="0" w:space="0" w:color="auto"/>
            <w:right w:val="none" w:sz="0" w:space="0" w:color="auto"/>
          </w:divBdr>
          <w:divsChild>
            <w:div w:id="1322927082">
              <w:marLeft w:val="0"/>
              <w:marRight w:val="0"/>
              <w:marTop w:val="0"/>
              <w:marBottom w:val="0"/>
              <w:divBdr>
                <w:top w:val="none" w:sz="0" w:space="0" w:color="auto"/>
                <w:left w:val="none" w:sz="0" w:space="0" w:color="auto"/>
                <w:bottom w:val="none" w:sz="0" w:space="0" w:color="auto"/>
                <w:right w:val="none" w:sz="0" w:space="0" w:color="auto"/>
              </w:divBdr>
            </w:div>
          </w:divsChild>
        </w:div>
        <w:div w:id="1305425442">
          <w:marLeft w:val="0"/>
          <w:marRight w:val="0"/>
          <w:marTop w:val="0"/>
          <w:marBottom w:val="0"/>
          <w:divBdr>
            <w:top w:val="none" w:sz="0" w:space="0" w:color="auto"/>
            <w:left w:val="none" w:sz="0" w:space="0" w:color="auto"/>
            <w:bottom w:val="none" w:sz="0" w:space="0" w:color="auto"/>
            <w:right w:val="none" w:sz="0" w:space="0" w:color="auto"/>
          </w:divBdr>
          <w:divsChild>
            <w:div w:id="661276092">
              <w:marLeft w:val="0"/>
              <w:marRight w:val="0"/>
              <w:marTop w:val="0"/>
              <w:marBottom w:val="0"/>
              <w:divBdr>
                <w:top w:val="none" w:sz="0" w:space="0" w:color="auto"/>
                <w:left w:val="none" w:sz="0" w:space="0" w:color="auto"/>
                <w:bottom w:val="none" w:sz="0" w:space="0" w:color="auto"/>
                <w:right w:val="none" w:sz="0" w:space="0" w:color="auto"/>
              </w:divBdr>
            </w:div>
          </w:divsChild>
        </w:div>
        <w:div w:id="2075737193">
          <w:marLeft w:val="0"/>
          <w:marRight w:val="0"/>
          <w:marTop w:val="0"/>
          <w:marBottom w:val="0"/>
          <w:divBdr>
            <w:top w:val="none" w:sz="0" w:space="0" w:color="auto"/>
            <w:left w:val="none" w:sz="0" w:space="0" w:color="auto"/>
            <w:bottom w:val="none" w:sz="0" w:space="0" w:color="auto"/>
            <w:right w:val="none" w:sz="0" w:space="0" w:color="auto"/>
          </w:divBdr>
          <w:divsChild>
            <w:div w:id="86371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456893">
      <w:bodyDiv w:val="1"/>
      <w:marLeft w:val="0"/>
      <w:marRight w:val="0"/>
      <w:marTop w:val="0"/>
      <w:marBottom w:val="0"/>
      <w:divBdr>
        <w:top w:val="none" w:sz="0" w:space="0" w:color="auto"/>
        <w:left w:val="none" w:sz="0" w:space="0" w:color="auto"/>
        <w:bottom w:val="none" w:sz="0" w:space="0" w:color="auto"/>
        <w:right w:val="none" w:sz="0" w:space="0" w:color="auto"/>
      </w:divBdr>
    </w:div>
    <w:div w:id="1648393261">
      <w:bodyDiv w:val="1"/>
      <w:marLeft w:val="0"/>
      <w:marRight w:val="0"/>
      <w:marTop w:val="0"/>
      <w:marBottom w:val="0"/>
      <w:divBdr>
        <w:top w:val="none" w:sz="0" w:space="0" w:color="auto"/>
        <w:left w:val="none" w:sz="0" w:space="0" w:color="auto"/>
        <w:bottom w:val="none" w:sz="0" w:space="0" w:color="auto"/>
        <w:right w:val="none" w:sz="0" w:space="0" w:color="auto"/>
      </w:divBdr>
      <w:divsChild>
        <w:div w:id="202061730">
          <w:marLeft w:val="0"/>
          <w:marRight w:val="0"/>
          <w:marTop w:val="0"/>
          <w:marBottom w:val="0"/>
          <w:divBdr>
            <w:top w:val="none" w:sz="0" w:space="0" w:color="auto"/>
            <w:left w:val="none" w:sz="0" w:space="0" w:color="auto"/>
            <w:bottom w:val="none" w:sz="0" w:space="0" w:color="auto"/>
            <w:right w:val="none" w:sz="0" w:space="0" w:color="auto"/>
          </w:divBdr>
          <w:divsChild>
            <w:div w:id="329258936">
              <w:marLeft w:val="0"/>
              <w:marRight w:val="0"/>
              <w:marTop w:val="0"/>
              <w:marBottom w:val="0"/>
              <w:divBdr>
                <w:top w:val="none" w:sz="0" w:space="0" w:color="auto"/>
                <w:left w:val="none" w:sz="0" w:space="0" w:color="auto"/>
                <w:bottom w:val="none" w:sz="0" w:space="0" w:color="auto"/>
                <w:right w:val="none" w:sz="0" w:space="0" w:color="auto"/>
              </w:divBdr>
              <w:divsChild>
                <w:div w:id="410583571">
                  <w:marLeft w:val="0"/>
                  <w:marRight w:val="0"/>
                  <w:marTop w:val="0"/>
                  <w:marBottom w:val="0"/>
                  <w:divBdr>
                    <w:top w:val="none" w:sz="0" w:space="0" w:color="auto"/>
                    <w:left w:val="none" w:sz="0" w:space="0" w:color="auto"/>
                    <w:bottom w:val="none" w:sz="0" w:space="0" w:color="auto"/>
                    <w:right w:val="none" w:sz="0" w:space="0" w:color="auto"/>
                  </w:divBdr>
                  <w:divsChild>
                    <w:div w:id="616571700">
                      <w:marLeft w:val="0"/>
                      <w:marRight w:val="0"/>
                      <w:marTop w:val="0"/>
                      <w:marBottom w:val="0"/>
                      <w:divBdr>
                        <w:top w:val="none" w:sz="0" w:space="0" w:color="auto"/>
                        <w:left w:val="none" w:sz="0" w:space="0" w:color="auto"/>
                        <w:bottom w:val="none" w:sz="0" w:space="0" w:color="auto"/>
                        <w:right w:val="none" w:sz="0" w:space="0" w:color="auto"/>
                      </w:divBdr>
                      <w:divsChild>
                        <w:div w:id="1865090586">
                          <w:marLeft w:val="0"/>
                          <w:marRight w:val="0"/>
                          <w:marTop w:val="0"/>
                          <w:marBottom w:val="0"/>
                          <w:divBdr>
                            <w:top w:val="none" w:sz="0" w:space="0" w:color="auto"/>
                            <w:left w:val="none" w:sz="0" w:space="0" w:color="auto"/>
                            <w:bottom w:val="none" w:sz="0" w:space="0" w:color="auto"/>
                            <w:right w:val="none" w:sz="0" w:space="0" w:color="auto"/>
                          </w:divBdr>
                          <w:divsChild>
                            <w:div w:id="1032460473">
                              <w:marLeft w:val="0"/>
                              <w:marRight w:val="0"/>
                              <w:marTop w:val="75"/>
                              <w:marBottom w:val="75"/>
                              <w:divBdr>
                                <w:top w:val="none" w:sz="0" w:space="0" w:color="auto"/>
                                <w:left w:val="none" w:sz="0" w:space="0" w:color="auto"/>
                                <w:bottom w:val="none" w:sz="0" w:space="0" w:color="auto"/>
                                <w:right w:val="none" w:sz="0" w:space="0" w:color="auto"/>
                              </w:divBdr>
                              <w:divsChild>
                                <w:div w:id="542793062">
                                  <w:marLeft w:val="0"/>
                                  <w:marRight w:val="0"/>
                                  <w:marTop w:val="0"/>
                                  <w:marBottom w:val="0"/>
                                  <w:divBdr>
                                    <w:top w:val="none" w:sz="0" w:space="0" w:color="auto"/>
                                    <w:left w:val="none" w:sz="0" w:space="0" w:color="auto"/>
                                    <w:bottom w:val="none" w:sz="0" w:space="0" w:color="auto"/>
                                    <w:right w:val="none" w:sz="0" w:space="0" w:color="auto"/>
                                  </w:divBdr>
                                  <w:divsChild>
                                    <w:div w:id="744837457">
                                      <w:marLeft w:val="0"/>
                                      <w:marRight w:val="0"/>
                                      <w:marTop w:val="0"/>
                                      <w:marBottom w:val="0"/>
                                      <w:divBdr>
                                        <w:top w:val="none" w:sz="0" w:space="0" w:color="auto"/>
                                        <w:left w:val="none" w:sz="0" w:space="0" w:color="auto"/>
                                        <w:bottom w:val="none" w:sz="0" w:space="0" w:color="auto"/>
                                        <w:right w:val="none" w:sz="0" w:space="0" w:color="auto"/>
                                      </w:divBdr>
                                      <w:divsChild>
                                        <w:div w:id="449907157">
                                          <w:marLeft w:val="0"/>
                                          <w:marRight w:val="0"/>
                                          <w:marTop w:val="0"/>
                                          <w:marBottom w:val="75"/>
                                          <w:divBdr>
                                            <w:top w:val="none" w:sz="0" w:space="0" w:color="auto"/>
                                            <w:left w:val="none" w:sz="0" w:space="0" w:color="auto"/>
                                            <w:bottom w:val="none" w:sz="0" w:space="0" w:color="auto"/>
                                            <w:right w:val="none" w:sz="0" w:space="0" w:color="auto"/>
                                          </w:divBdr>
                                          <w:divsChild>
                                            <w:div w:id="147288903">
                                              <w:marLeft w:val="0"/>
                                              <w:marRight w:val="0"/>
                                              <w:marTop w:val="6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50329031">
      <w:bodyDiv w:val="1"/>
      <w:marLeft w:val="0"/>
      <w:marRight w:val="0"/>
      <w:marTop w:val="0"/>
      <w:marBottom w:val="0"/>
      <w:divBdr>
        <w:top w:val="none" w:sz="0" w:space="0" w:color="auto"/>
        <w:left w:val="none" w:sz="0" w:space="0" w:color="auto"/>
        <w:bottom w:val="none" w:sz="0" w:space="0" w:color="auto"/>
        <w:right w:val="none" w:sz="0" w:space="0" w:color="auto"/>
      </w:divBdr>
    </w:div>
    <w:div w:id="1650480835">
      <w:bodyDiv w:val="1"/>
      <w:marLeft w:val="0"/>
      <w:marRight w:val="0"/>
      <w:marTop w:val="0"/>
      <w:marBottom w:val="0"/>
      <w:divBdr>
        <w:top w:val="none" w:sz="0" w:space="0" w:color="auto"/>
        <w:left w:val="none" w:sz="0" w:space="0" w:color="auto"/>
        <w:bottom w:val="none" w:sz="0" w:space="0" w:color="auto"/>
        <w:right w:val="none" w:sz="0" w:space="0" w:color="auto"/>
      </w:divBdr>
    </w:div>
    <w:div w:id="1681393696">
      <w:bodyDiv w:val="1"/>
      <w:marLeft w:val="0"/>
      <w:marRight w:val="0"/>
      <w:marTop w:val="0"/>
      <w:marBottom w:val="0"/>
      <w:divBdr>
        <w:top w:val="none" w:sz="0" w:space="0" w:color="auto"/>
        <w:left w:val="none" w:sz="0" w:space="0" w:color="auto"/>
        <w:bottom w:val="none" w:sz="0" w:space="0" w:color="auto"/>
        <w:right w:val="none" w:sz="0" w:space="0" w:color="auto"/>
      </w:divBdr>
    </w:div>
    <w:div w:id="1696807922">
      <w:bodyDiv w:val="1"/>
      <w:marLeft w:val="0"/>
      <w:marRight w:val="0"/>
      <w:marTop w:val="0"/>
      <w:marBottom w:val="0"/>
      <w:divBdr>
        <w:top w:val="none" w:sz="0" w:space="0" w:color="auto"/>
        <w:left w:val="none" w:sz="0" w:space="0" w:color="auto"/>
        <w:bottom w:val="none" w:sz="0" w:space="0" w:color="auto"/>
        <w:right w:val="none" w:sz="0" w:space="0" w:color="auto"/>
      </w:divBdr>
      <w:divsChild>
        <w:div w:id="434982776">
          <w:marLeft w:val="691"/>
          <w:marRight w:val="0"/>
          <w:marTop w:val="0"/>
          <w:marBottom w:val="0"/>
          <w:divBdr>
            <w:top w:val="none" w:sz="0" w:space="0" w:color="auto"/>
            <w:left w:val="none" w:sz="0" w:space="0" w:color="auto"/>
            <w:bottom w:val="none" w:sz="0" w:space="0" w:color="auto"/>
            <w:right w:val="none" w:sz="0" w:space="0" w:color="auto"/>
          </w:divBdr>
        </w:div>
        <w:div w:id="1860117467">
          <w:marLeft w:val="1901"/>
          <w:marRight w:val="0"/>
          <w:marTop w:val="0"/>
          <w:marBottom w:val="0"/>
          <w:divBdr>
            <w:top w:val="none" w:sz="0" w:space="0" w:color="auto"/>
            <w:left w:val="none" w:sz="0" w:space="0" w:color="auto"/>
            <w:bottom w:val="none" w:sz="0" w:space="0" w:color="auto"/>
            <w:right w:val="none" w:sz="0" w:space="0" w:color="auto"/>
          </w:divBdr>
        </w:div>
        <w:div w:id="1535070286">
          <w:marLeft w:val="1901"/>
          <w:marRight w:val="0"/>
          <w:marTop w:val="0"/>
          <w:marBottom w:val="0"/>
          <w:divBdr>
            <w:top w:val="none" w:sz="0" w:space="0" w:color="auto"/>
            <w:left w:val="none" w:sz="0" w:space="0" w:color="auto"/>
            <w:bottom w:val="none" w:sz="0" w:space="0" w:color="auto"/>
            <w:right w:val="none" w:sz="0" w:space="0" w:color="auto"/>
          </w:divBdr>
        </w:div>
        <w:div w:id="1639413000">
          <w:marLeft w:val="1901"/>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629715">
      <w:bodyDiv w:val="1"/>
      <w:marLeft w:val="0"/>
      <w:marRight w:val="0"/>
      <w:marTop w:val="0"/>
      <w:marBottom w:val="0"/>
      <w:divBdr>
        <w:top w:val="none" w:sz="0" w:space="0" w:color="auto"/>
        <w:left w:val="none" w:sz="0" w:space="0" w:color="auto"/>
        <w:bottom w:val="none" w:sz="0" w:space="0" w:color="auto"/>
        <w:right w:val="none" w:sz="0" w:space="0" w:color="auto"/>
      </w:divBdr>
      <w:divsChild>
        <w:div w:id="201793194">
          <w:marLeft w:val="518"/>
          <w:marRight w:val="0"/>
          <w:marTop w:val="0"/>
          <w:marBottom w:val="120"/>
          <w:divBdr>
            <w:top w:val="none" w:sz="0" w:space="0" w:color="auto"/>
            <w:left w:val="none" w:sz="0" w:space="0" w:color="auto"/>
            <w:bottom w:val="none" w:sz="0" w:space="0" w:color="auto"/>
            <w:right w:val="none" w:sz="0" w:space="0" w:color="auto"/>
          </w:divBdr>
        </w:div>
        <w:div w:id="304623505">
          <w:marLeft w:val="1728"/>
          <w:marRight w:val="0"/>
          <w:marTop w:val="0"/>
          <w:marBottom w:val="120"/>
          <w:divBdr>
            <w:top w:val="none" w:sz="0" w:space="0" w:color="auto"/>
            <w:left w:val="none" w:sz="0" w:space="0" w:color="auto"/>
            <w:bottom w:val="none" w:sz="0" w:space="0" w:color="auto"/>
            <w:right w:val="none" w:sz="0" w:space="0" w:color="auto"/>
          </w:divBdr>
        </w:div>
        <w:div w:id="675307719">
          <w:marLeft w:val="1728"/>
          <w:marRight w:val="0"/>
          <w:marTop w:val="0"/>
          <w:marBottom w:val="120"/>
          <w:divBdr>
            <w:top w:val="none" w:sz="0" w:space="0" w:color="auto"/>
            <w:left w:val="none" w:sz="0" w:space="0" w:color="auto"/>
            <w:bottom w:val="none" w:sz="0" w:space="0" w:color="auto"/>
            <w:right w:val="none" w:sz="0" w:space="0" w:color="auto"/>
          </w:divBdr>
        </w:div>
        <w:div w:id="680199935">
          <w:marLeft w:val="518"/>
          <w:marRight w:val="0"/>
          <w:marTop w:val="0"/>
          <w:marBottom w:val="120"/>
          <w:divBdr>
            <w:top w:val="none" w:sz="0" w:space="0" w:color="auto"/>
            <w:left w:val="none" w:sz="0" w:space="0" w:color="auto"/>
            <w:bottom w:val="none" w:sz="0" w:space="0" w:color="auto"/>
            <w:right w:val="none" w:sz="0" w:space="0" w:color="auto"/>
          </w:divBdr>
        </w:div>
        <w:div w:id="743651524">
          <w:marLeft w:val="518"/>
          <w:marRight w:val="0"/>
          <w:marTop w:val="0"/>
          <w:marBottom w:val="120"/>
          <w:divBdr>
            <w:top w:val="none" w:sz="0" w:space="0" w:color="auto"/>
            <w:left w:val="none" w:sz="0" w:space="0" w:color="auto"/>
            <w:bottom w:val="none" w:sz="0" w:space="0" w:color="auto"/>
            <w:right w:val="none" w:sz="0" w:space="0" w:color="auto"/>
          </w:divBdr>
        </w:div>
        <w:div w:id="837690985">
          <w:marLeft w:val="288"/>
          <w:marRight w:val="0"/>
          <w:marTop w:val="0"/>
          <w:marBottom w:val="120"/>
          <w:divBdr>
            <w:top w:val="none" w:sz="0" w:space="0" w:color="auto"/>
            <w:left w:val="none" w:sz="0" w:space="0" w:color="auto"/>
            <w:bottom w:val="none" w:sz="0" w:space="0" w:color="auto"/>
            <w:right w:val="none" w:sz="0" w:space="0" w:color="auto"/>
          </w:divBdr>
        </w:div>
        <w:div w:id="839272522">
          <w:marLeft w:val="518"/>
          <w:marRight w:val="0"/>
          <w:marTop w:val="0"/>
          <w:marBottom w:val="120"/>
          <w:divBdr>
            <w:top w:val="none" w:sz="0" w:space="0" w:color="auto"/>
            <w:left w:val="none" w:sz="0" w:space="0" w:color="auto"/>
            <w:bottom w:val="none" w:sz="0" w:space="0" w:color="auto"/>
            <w:right w:val="none" w:sz="0" w:space="0" w:color="auto"/>
          </w:divBdr>
        </w:div>
        <w:div w:id="951939977">
          <w:marLeft w:val="518"/>
          <w:marRight w:val="0"/>
          <w:marTop w:val="0"/>
          <w:marBottom w:val="120"/>
          <w:divBdr>
            <w:top w:val="none" w:sz="0" w:space="0" w:color="auto"/>
            <w:left w:val="none" w:sz="0" w:space="0" w:color="auto"/>
            <w:bottom w:val="none" w:sz="0" w:space="0" w:color="auto"/>
            <w:right w:val="none" w:sz="0" w:space="0" w:color="auto"/>
          </w:divBdr>
        </w:div>
        <w:div w:id="1643196517">
          <w:marLeft w:val="518"/>
          <w:marRight w:val="0"/>
          <w:marTop w:val="0"/>
          <w:marBottom w:val="120"/>
          <w:divBdr>
            <w:top w:val="none" w:sz="0" w:space="0" w:color="auto"/>
            <w:left w:val="none" w:sz="0" w:space="0" w:color="auto"/>
            <w:bottom w:val="none" w:sz="0" w:space="0" w:color="auto"/>
            <w:right w:val="none" w:sz="0" w:space="0" w:color="auto"/>
          </w:divBdr>
        </w:div>
        <w:div w:id="1690720119">
          <w:marLeft w:val="288"/>
          <w:marRight w:val="0"/>
          <w:marTop w:val="0"/>
          <w:marBottom w:val="120"/>
          <w:divBdr>
            <w:top w:val="none" w:sz="0" w:space="0" w:color="auto"/>
            <w:left w:val="none" w:sz="0" w:space="0" w:color="auto"/>
            <w:bottom w:val="none" w:sz="0" w:space="0" w:color="auto"/>
            <w:right w:val="none" w:sz="0" w:space="0" w:color="auto"/>
          </w:divBdr>
        </w:div>
        <w:div w:id="1777368357">
          <w:marLeft w:val="1728"/>
          <w:marRight w:val="0"/>
          <w:marTop w:val="0"/>
          <w:marBottom w:val="120"/>
          <w:divBdr>
            <w:top w:val="none" w:sz="0" w:space="0" w:color="auto"/>
            <w:left w:val="none" w:sz="0" w:space="0" w:color="auto"/>
            <w:bottom w:val="none" w:sz="0" w:space="0" w:color="auto"/>
            <w:right w:val="none" w:sz="0" w:space="0" w:color="auto"/>
          </w:divBdr>
        </w:div>
        <w:div w:id="1952320321">
          <w:marLeft w:val="1728"/>
          <w:marRight w:val="0"/>
          <w:marTop w:val="0"/>
          <w:marBottom w:val="120"/>
          <w:divBdr>
            <w:top w:val="none" w:sz="0" w:space="0" w:color="auto"/>
            <w:left w:val="none" w:sz="0" w:space="0" w:color="auto"/>
            <w:bottom w:val="none" w:sz="0" w:space="0" w:color="auto"/>
            <w:right w:val="none" w:sz="0" w:space="0" w:color="auto"/>
          </w:divBdr>
        </w:div>
      </w:divsChild>
    </w:div>
    <w:div w:id="1740982062">
      <w:bodyDiv w:val="1"/>
      <w:marLeft w:val="0"/>
      <w:marRight w:val="0"/>
      <w:marTop w:val="0"/>
      <w:marBottom w:val="0"/>
      <w:divBdr>
        <w:top w:val="none" w:sz="0" w:space="0" w:color="auto"/>
        <w:left w:val="none" w:sz="0" w:space="0" w:color="auto"/>
        <w:bottom w:val="none" w:sz="0" w:space="0" w:color="auto"/>
        <w:right w:val="none" w:sz="0" w:space="0" w:color="auto"/>
      </w:divBdr>
      <w:divsChild>
        <w:div w:id="1484353219">
          <w:marLeft w:val="691"/>
          <w:marRight w:val="0"/>
          <w:marTop w:val="0"/>
          <w:marBottom w:val="0"/>
          <w:divBdr>
            <w:top w:val="none" w:sz="0" w:space="0" w:color="auto"/>
            <w:left w:val="none" w:sz="0" w:space="0" w:color="auto"/>
            <w:bottom w:val="none" w:sz="0" w:space="0" w:color="auto"/>
            <w:right w:val="none" w:sz="0" w:space="0" w:color="auto"/>
          </w:divBdr>
        </w:div>
      </w:divsChild>
    </w:div>
    <w:div w:id="1793011896">
      <w:bodyDiv w:val="1"/>
      <w:marLeft w:val="0"/>
      <w:marRight w:val="0"/>
      <w:marTop w:val="0"/>
      <w:marBottom w:val="0"/>
      <w:divBdr>
        <w:top w:val="none" w:sz="0" w:space="0" w:color="auto"/>
        <w:left w:val="none" w:sz="0" w:space="0" w:color="auto"/>
        <w:bottom w:val="none" w:sz="0" w:space="0" w:color="auto"/>
        <w:right w:val="none" w:sz="0" w:space="0" w:color="auto"/>
      </w:divBdr>
    </w:div>
    <w:div w:id="1843933274">
      <w:bodyDiv w:val="1"/>
      <w:marLeft w:val="0"/>
      <w:marRight w:val="0"/>
      <w:marTop w:val="0"/>
      <w:marBottom w:val="0"/>
      <w:divBdr>
        <w:top w:val="none" w:sz="0" w:space="0" w:color="auto"/>
        <w:left w:val="none" w:sz="0" w:space="0" w:color="auto"/>
        <w:bottom w:val="none" w:sz="0" w:space="0" w:color="auto"/>
        <w:right w:val="none" w:sz="0" w:space="0" w:color="auto"/>
      </w:divBdr>
    </w:div>
    <w:div w:id="185938949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267593">
      <w:bodyDiv w:val="1"/>
      <w:marLeft w:val="0"/>
      <w:marRight w:val="0"/>
      <w:marTop w:val="0"/>
      <w:marBottom w:val="0"/>
      <w:divBdr>
        <w:top w:val="none" w:sz="0" w:space="0" w:color="auto"/>
        <w:left w:val="none" w:sz="0" w:space="0" w:color="auto"/>
        <w:bottom w:val="none" w:sz="0" w:space="0" w:color="auto"/>
        <w:right w:val="none" w:sz="0" w:space="0" w:color="auto"/>
      </w:divBdr>
    </w:div>
    <w:div w:id="1997881996">
      <w:bodyDiv w:val="1"/>
      <w:marLeft w:val="0"/>
      <w:marRight w:val="0"/>
      <w:marTop w:val="0"/>
      <w:marBottom w:val="0"/>
      <w:divBdr>
        <w:top w:val="none" w:sz="0" w:space="0" w:color="auto"/>
        <w:left w:val="none" w:sz="0" w:space="0" w:color="auto"/>
        <w:bottom w:val="none" w:sz="0" w:space="0" w:color="auto"/>
        <w:right w:val="none" w:sz="0" w:space="0" w:color="auto"/>
      </w:divBdr>
    </w:div>
    <w:div w:id="2008702167">
      <w:bodyDiv w:val="1"/>
      <w:marLeft w:val="0"/>
      <w:marRight w:val="0"/>
      <w:marTop w:val="0"/>
      <w:marBottom w:val="0"/>
      <w:divBdr>
        <w:top w:val="none" w:sz="0" w:space="0" w:color="auto"/>
        <w:left w:val="none" w:sz="0" w:space="0" w:color="auto"/>
        <w:bottom w:val="none" w:sz="0" w:space="0" w:color="auto"/>
        <w:right w:val="none" w:sz="0" w:space="0" w:color="auto"/>
      </w:divBdr>
      <w:divsChild>
        <w:div w:id="245893194">
          <w:marLeft w:val="475"/>
          <w:marRight w:val="0"/>
          <w:marTop w:val="0"/>
          <w:marBottom w:val="0"/>
          <w:divBdr>
            <w:top w:val="none" w:sz="0" w:space="0" w:color="auto"/>
            <w:left w:val="none" w:sz="0" w:space="0" w:color="auto"/>
            <w:bottom w:val="none" w:sz="0" w:space="0" w:color="auto"/>
            <w:right w:val="none" w:sz="0" w:space="0" w:color="auto"/>
          </w:divBdr>
        </w:div>
      </w:divsChild>
    </w:div>
    <w:div w:id="2048984321">
      <w:bodyDiv w:val="1"/>
      <w:marLeft w:val="0"/>
      <w:marRight w:val="0"/>
      <w:marTop w:val="0"/>
      <w:marBottom w:val="0"/>
      <w:divBdr>
        <w:top w:val="none" w:sz="0" w:space="0" w:color="auto"/>
        <w:left w:val="none" w:sz="0" w:space="0" w:color="auto"/>
        <w:bottom w:val="none" w:sz="0" w:space="0" w:color="auto"/>
        <w:right w:val="none" w:sz="0" w:space="0" w:color="auto"/>
      </w:divBdr>
    </w:div>
    <w:div w:id="2063021486">
      <w:bodyDiv w:val="1"/>
      <w:marLeft w:val="0"/>
      <w:marRight w:val="0"/>
      <w:marTop w:val="0"/>
      <w:marBottom w:val="0"/>
      <w:divBdr>
        <w:top w:val="none" w:sz="0" w:space="0" w:color="auto"/>
        <w:left w:val="none" w:sz="0" w:space="0" w:color="auto"/>
        <w:bottom w:val="none" w:sz="0" w:space="0" w:color="auto"/>
        <w:right w:val="none" w:sz="0" w:space="0" w:color="auto"/>
      </w:divBdr>
    </w:div>
    <w:div w:id="2078553372">
      <w:bodyDiv w:val="1"/>
      <w:marLeft w:val="0"/>
      <w:marRight w:val="0"/>
      <w:marTop w:val="0"/>
      <w:marBottom w:val="0"/>
      <w:divBdr>
        <w:top w:val="none" w:sz="0" w:space="0" w:color="auto"/>
        <w:left w:val="none" w:sz="0" w:space="0" w:color="auto"/>
        <w:bottom w:val="none" w:sz="0" w:space="0" w:color="auto"/>
        <w:right w:val="none" w:sz="0" w:space="0" w:color="auto"/>
      </w:divBdr>
    </w:div>
    <w:div w:id="2102797295">
      <w:bodyDiv w:val="1"/>
      <w:marLeft w:val="0"/>
      <w:marRight w:val="0"/>
      <w:marTop w:val="0"/>
      <w:marBottom w:val="0"/>
      <w:divBdr>
        <w:top w:val="none" w:sz="0" w:space="0" w:color="auto"/>
        <w:left w:val="none" w:sz="0" w:space="0" w:color="auto"/>
        <w:bottom w:val="none" w:sz="0" w:space="0" w:color="auto"/>
        <w:right w:val="none" w:sz="0" w:space="0" w:color="auto"/>
      </w:divBdr>
    </w:div>
    <w:div w:id="2123913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8CFE53-8133-4D32-B2CB-E4AB2A66EA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11</Pages>
  <Words>5514</Words>
  <Characters>31436</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36877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david.mazzarese@huawei.com</dc:creator>
  <cp:keywords/>
  <dc:description/>
  <cp:lastModifiedBy>Huawei, HiSilicon</cp:lastModifiedBy>
  <cp:revision>7</cp:revision>
  <cp:lastPrinted>2018-12-18T01:25:00Z</cp:lastPrinted>
  <dcterms:created xsi:type="dcterms:W3CDTF">2025-02-06T14:32:00Z</dcterms:created>
  <dcterms:modified xsi:type="dcterms:W3CDTF">2025-02-07T07:52:00Z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(3)tAw2g4qNPsplrzySXYew2Ig2q8coPSNwhWAN90P6k5SgeYV1q9xVyxhn41wMmntt0Mw+JUbv
JluvhmpLuDHZV72QGp+3ZCvWsKM/jRKP9o1bA/iIOhv6sIvowNDSu0eRr4Sm0VC/L3SO5FL2
Yq/92qcNgWNIcWtylTzOYXq9Z4/RQ4xaR0/Drbe6i6uugs10icAZAQRFT/25O6ESKTm2yPnk
AXNdU/DTkKNTGVQ51J</vt:lpwstr>
  </property>
  <property fmtid="{D5CDD505-2E9C-101B-9397-08002B2CF9AE}" pid="13" name="_2015_ms_pID_725343_00">
    <vt:lpwstr>_2015_ms_pID_725343</vt:lpwstr>
  </property>
  <property fmtid="{D5CDD505-2E9C-101B-9397-08002B2CF9AE}" pid="14" name="_2015_ms_pID_7253431">
    <vt:lpwstr>HwHw0dTIbIbOXnjY56PCOowkvOtkyRBwIo9rInDEgpBSegdcbl51rA
az+hxAvNSaaJB7kSaUoDgAJIdsUhGX31hXWuePSyiNVlFFduKFdpLQ5RcdtqgqmOvYo33sbt
W9GmOcZmeft2QwBQAwXv/vLCl9PPU8PeyHiRUw68g1bkcd2a8ULwrgB37qKvftLmAk1nHXeI
hT0fFxAi6DXrx+TZ9/KSm0+wOyLcmKfrwmDY</vt:lpwstr>
  </property>
  <property fmtid="{D5CDD505-2E9C-101B-9397-08002B2CF9AE}" pid="15" name="_2015_ms_pID_7253431_00">
    <vt:lpwstr>_2015_ms_pID_7253431</vt:lpwstr>
  </property>
  <property fmtid="{D5CDD505-2E9C-101B-9397-08002B2CF9AE}" pid="16" name="_2015_ms_pID_7253432">
    <vt:lpwstr>vowvlEJrAXlNZoZcvK6O35Chh6hNL56kd+DR
XsMkpKNQGl6HyNF9vsZCUCav4ooD4+O4lAhfBBlpSXxeoClWFQ6i1zNjK6b57vhCMILqNxIy
pKxv6Id8vHlZJ9eBmm3G4fPwdh3BanW0sLUAPFFB2Qw=</vt:lpwstr>
  </property>
  <property fmtid="{D5CDD505-2E9C-101B-9397-08002B2CF9AE}" pid="17" name="_2015_ms_pID_7253432_00">
    <vt:lpwstr>_2015_ms_pID_7253432</vt:lpwstr>
  </property>
  <property fmtid="{D5CDD505-2E9C-101B-9397-08002B2CF9AE}" pid="18" name="KeyAssetLabel_HuaWei">
    <vt:lpwstr>{tAw2g4qNPsplrzySXYew2Ig2q8coPS}</vt:lpwstr>
  </property>
  <property fmtid="{D5CDD505-2E9C-101B-9397-08002B2CF9AE}" pid="19" name="_862901variable_0907_groupIDlong_2010">
    <vt:lpwstr>(1)TAbXxE/fLO/Bka4aABKQqys0ZeX3l6bUDA4w4f1l6YC9LOMIEExEpiT2Wsh2nVdiX5U8p7yy
O0IojaArWgc59xpjc5rEhrFkiXA2Ve9kD4fAanE1pxre2ggSUF+Rsb7YzbB48ROVkKuhf0S3
ceI1OFanAbbGUpC6EUYCc9GD3AH+EVPIbZkqpm18/jC2TXHB</vt:lpwstr>
  </property>
  <property fmtid="{D5CDD505-2E9C-101B-9397-08002B2CF9AE}" pid="20" name="GrammarlyDocumentId">
    <vt:lpwstr>d2b6979b357ab7b2723d8a02fa0fca602edd5c9c76638cec2684c2b1a464c596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1730718532</vt:lpwstr>
  </property>
</Properties>
</file>